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C4116">
      <w:pPr>
        <w:pStyle w:val="7"/>
        <w:outlineLvl w:val="0"/>
        <w:rPr>
          <w:rFonts w:hint="default"/>
          <w:b/>
          <w:sz w:val="32"/>
          <w:szCs w:val="32"/>
        </w:rPr>
      </w:pPr>
      <w:bookmarkStart w:id="0" w:name="_Toc216992106"/>
      <w:r>
        <w:rPr>
          <w:b/>
          <w:sz w:val="32"/>
          <w:szCs w:val="32"/>
          <w:lang w:eastAsia="zh-CN"/>
        </w:rPr>
        <w:t>一、</w:t>
      </w:r>
      <w:r>
        <w:rPr>
          <w:b/>
          <w:sz w:val="32"/>
          <w:szCs w:val="32"/>
        </w:rPr>
        <w:t>项目概述：</w:t>
      </w:r>
      <w:bookmarkEnd w:id="0"/>
      <w:bookmarkStart w:id="4" w:name="_GoBack"/>
      <w:bookmarkEnd w:id="4"/>
    </w:p>
    <w:p w14:paraId="6085A6AA">
      <w:pPr>
        <w:pStyle w:val="7"/>
        <w:ind w:firstLine="560" w:firstLineChars="200"/>
        <w:rPr>
          <w:rFonts w:hint="default" w:ascii="仿宋" w:hAnsi="仿宋" w:eastAsia="仿宋" w:cs="仿宋"/>
          <w:sz w:val="28"/>
        </w:rPr>
      </w:pPr>
      <w:r>
        <w:rPr>
          <w:rFonts w:ascii="仿宋" w:hAnsi="仿宋" w:eastAsia="仿宋" w:cs="仿宋"/>
          <w:sz w:val="28"/>
        </w:rPr>
        <w:t>在国家积极推行医疗付费制度改革（DRGs）及三级公立医院绩效考核的背景下，</w:t>
      </w:r>
      <w:r>
        <w:rPr>
          <w:rFonts w:hint="eastAsia" w:ascii="仿宋" w:hAnsi="仿宋" w:eastAsia="仿宋" w:cs="仿宋"/>
          <w:color w:val="auto"/>
          <w:sz w:val="28"/>
        </w:rPr>
        <w:t>结合自贡市卫生健康信息化统筹建设内容，开展医院绩效管理建设，本次</w:t>
      </w:r>
      <w:r>
        <w:rPr>
          <w:rFonts w:hint="eastAsia" w:ascii="仿宋" w:hAnsi="仿宋" w:eastAsia="仿宋" w:cs="仿宋"/>
          <w:color w:val="auto"/>
          <w:sz w:val="28"/>
          <w:lang w:val="en-US" w:eastAsia="zh-CN"/>
        </w:rPr>
        <w:t>也</w:t>
      </w:r>
      <w:r>
        <w:rPr>
          <w:rFonts w:hint="eastAsia" w:ascii="仿宋" w:hAnsi="仿宋" w:eastAsia="仿宋" w:cs="仿宋"/>
          <w:color w:val="auto"/>
          <w:sz w:val="28"/>
        </w:rPr>
        <w:t>充分考虑</w:t>
      </w:r>
      <w:r>
        <w:rPr>
          <w:rFonts w:hint="eastAsia" w:ascii="仿宋" w:hAnsi="仿宋" w:eastAsia="仿宋" w:cs="仿宋"/>
          <w:color w:val="auto"/>
          <w:sz w:val="28"/>
          <w:lang w:val="en-US" w:eastAsia="zh-CN"/>
        </w:rPr>
        <w:t>了</w:t>
      </w:r>
      <w:r>
        <w:rPr>
          <w:rFonts w:hint="eastAsia" w:ascii="仿宋" w:hAnsi="仿宋" w:eastAsia="仿宋" w:cs="仿宋"/>
          <w:color w:val="auto"/>
          <w:sz w:val="28"/>
        </w:rPr>
        <w:t>与市级统筹建设项目融合对接。</w:t>
      </w:r>
      <w:r>
        <w:rPr>
          <w:rFonts w:ascii="仿宋" w:hAnsi="仿宋" w:eastAsia="仿宋" w:cs="仿宋"/>
          <w:color w:val="auto"/>
          <w:sz w:val="28"/>
        </w:rPr>
        <w:t>富顺县中医医院建立满足医务人员行业特点的绩效薪酬体系，改革医院内部</w:t>
      </w:r>
      <w:r>
        <w:rPr>
          <w:rFonts w:ascii="仿宋" w:hAnsi="仿宋" w:eastAsia="仿宋" w:cs="仿宋"/>
          <w:sz w:val="28"/>
        </w:rPr>
        <w:t>绩效分配制度，构建更加合理科学的绩效体系，充分调动职工积极性与创造性，为实现医院战略和持续稳定发展</w:t>
      </w:r>
      <w:r>
        <w:rPr>
          <w:rFonts w:hint="eastAsia" w:ascii="仿宋" w:hAnsi="仿宋" w:eastAsia="仿宋" w:cs="仿宋"/>
          <w:sz w:val="28"/>
          <w:lang w:eastAsia="zh-CN"/>
        </w:rPr>
        <w:t>，</w:t>
      </w:r>
      <w:r>
        <w:rPr>
          <w:rFonts w:ascii="仿宋" w:hAnsi="仿宋" w:eastAsia="仿宋" w:cs="仿宋"/>
          <w:sz w:val="28"/>
        </w:rPr>
        <w:t>对医院绩效改革主要体现在：建立以岗位管理为核心，以工作目标预算为标准的绩效考核体系。该体系分为医疗、护理、</w:t>
      </w:r>
      <w:r>
        <w:rPr>
          <w:rFonts w:hint="eastAsia" w:ascii="仿宋" w:hAnsi="仿宋" w:eastAsia="仿宋" w:cs="仿宋"/>
          <w:sz w:val="28"/>
          <w:lang w:val="en-US" w:eastAsia="zh-CN"/>
        </w:rPr>
        <w:t>医技、</w:t>
      </w:r>
      <w:r>
        <w:rPr>
          <w:rFonts w:ascii="仿宋" w:hAnsi="仿宋" w:eastAsia="仿宋" w:cs="仿宋"/>
          <w:sz w:val="28"/>
        </w:rPr>
        <w:t>药事、</w:t>
      </w:r>
      <w:r>
        <w:rPr>
          <w:rFonts w:hint="eastAsia" w:ascii="仿宋" w:hAnsi="仿宋" w:eastAsia="仿宋" w:cs="仿宋"/>
          <w:sz w:val="28"/>
          <w:lang w:val="en-US" w:eastAsia="zh-CN"/>
        </w:rPr>
        <w:t>管理、</w:t>
      </w:r>
      <w:r>
        <w:rPr>
          <w:rFonts w:ascii="仿宋" w:hAnsi="仿宋" w:eastAsia="仿宋" w:cs="仿宋"/>
          <w:sz w:val="28"/>
        </w:rPr>
        <w:t>科研、专项考核</w:t>
      </w:r>
      <w:r>
        <w:rPr>
          <w:rFonts w:hint="eastAsia" w:ascii="仿宋" w:hAnsi="仿宋" w:eastAsia="仿宋" w:cs="仿宋"/>
          <w:sz w:val="28"/>
          <w:lang w:val="en-US" w:eastAsia="zh-CN"/>
        </w:rPr>
        <w:t>等</w:t>
      </w:r>
      <w:r>
        <w:rPr>
          <w:rFonts w:ascii="仿宋" w:hAnsi="仿宋" w:eastAsia="仿宋" w:cs="仿宋"/>
          <w:sz w:val="28"/>
        </w:rPr>
        <w:t>单元。</w:t>
      </w:r>
    </w:p>
    <w:p w14:paraId="0086C485">
      <w:pPr>
        <w:pStyle w:val="7"/>
        <w:ind w:firstLine="560" w:firstLineChars="200"/>
        <w:rPr>
          <w:rFonts w:hint="default" w:ascii="仿宋" w:hAnsi="仿宋" w:eastAsia="仿宋" w:cs="仿宋"/>
          <w:sz w:val="28"/>
        </w:rPr>
      </w:pPr>
      <w:r>
        <w:rPr>
          <w:rFonts w:ascii="仿宋" w:hAnsi="仿宋" w:eastAsia="仿宋" w:cs="仿宋"/>
          <w:sz w:val="28"/>
        </w:rPr>
        <w:t>1、医疗绩效单元：建立以DRGs为主线集病种、操作积分为一体的的医院绩效评价体系，分为门诊激励、住院激励</w:t>
      </w:r>
      <w:r>
        <w:rPr>
          <w:rFonts w:hint="eastAsia" w:ascii="仿宋" w:hAnsi="仿宋" w:eastAsia="仿宋" w:cs="仿宋"/>
          <w:sz w:val="28"/>
          <w:lang w:eastAsia="zh-CN"/>
        </w:rPr>
        <w:t>、</w:t>
      </w:r>
      <w:r>
        <w:rPr>
          <w:rFonts w:ascii="仿宋" w:hAnsi="仿宋" w:eastAsia="仿宋" w:cs="仿宋"/>
          <w:sz w:val="28"/>
        </w:rPr>
        <w:t>手术激励。门诊激励包括门诊人次和医疗行为赋值；住院激励包括病例难度和权重值。</w:t>
      </w:r>
    </w:p>
    <w:p w14:paraId="4ECA590C">
      <w:pPr>
        <w:pStyle w:val="7"/>
        <w:ind w:firstLine="280" w:firstLineChars="100"/>
        <w:rPr>
          <w:rFonts w:hint="default" w:ascii="仿宋" w:hAnsi="仿宋" w:eastAsia="仿宋" w:cs="仿宋"/>
          <w:sz w:val="28"/>
        </w:rPr>
      </w:pPr>
      <w:r>
        <w:rPr>
          <w:rFonts w:ascii="仿宋" w:hAnsi="仿宋" w:eastAsia="仿宋" w:cs="仿宋"/>
          <w:sz w:val="28"/>
        </w:rPr>
        <w:t>2、护理绩效单元：建立以岗位管理为基础，护理产出为主的绩效考核体系。划分医院护理单元岗位：临床岗、支持岗、后援岗、管理岗；评价科室产出值：等级护理数量及价值、手术数量及等级、急诊留观人次等工作量。</w:t>
      </w:r>
    </w:p>
    <w:p w14:paraId="12EBB4FE">
      <w:pPr>
        <w:pStyle w:val="7"/>
        <w:ind w:firstLine="280" w:firstLineChars="100"/>
        <w:rPr>
          <w:rFonts w:hint="default" w:ascii="仿宋" w:hAnsi="仿宋" w:eastAsia="仿宋" w:cs="仿宋"/>
          <w:sz w:val="28"/>
        </w:rPr>
      </w:pPr>
      <w:r>
        <w:rPr>
          <w:rFonts w:ascii="仿宋" w:hAnsi="仿宋" w:eastAsia="仿宋" w:cs="仿宋"/>
          <w:sz w:val="28"/>
        </w:rPr>
        <w:t>3、医技绩效单元：建立以医技工作岗位和医技操作项目价值量绩效考核体系，划分医技单元岗位：主班、副班、二线班等；评价医技操作项目价值（RBRVS），计算项目价值量单价。</w:t>
      </w:r>
    </w:p>
    <w:p w14:paraId="776E48D1">
      <w:pPr>
        <w:pStyle w:val="7"/>
        <w:ind w:firstLine="280" w:firstLineChars="100"/>
        <w:rPr>
          <w:rFonts w:hint="default" w:ascii="仿宋" w:hAnsi="仿宋" w:eastAsia="仿宋" w:cs="仿宋"/>
          <w:sz w:val="28"/>
        </w:rPr>
      </w:pPr>
      <w:r>
        <w:rPr>
          <w:rFonts w:ascii="仿宋" w:hAnsi="仿宋" w:eastAsia="仿宋" w:cs="仿宋"/>
          <w:sz w:val="28"/>
        </w:rPr>
        <w:t>4、药事绩效单元：建立以岗位和工作量考核为主的绩效考核体系，划分药事单元岗位：调剂岗、管理岗等；以处方量、摆药量考核部门产出。</w:t>
      </w:r>
    </w:p>
    <w:p w14:paraId="1D2E50E5">
      <w:pPr>
        <w:pStyle w:val="7"/>
        <w:ind w:firstLine="280" w:firstLineChars="100"/>
        <w:rPr>
          <w:rFonts w:hint="default" w:ascii="仿宋" w:hAnsi="仿宋" w:eastAsia="仿宋" w:cs="仿宋"/>
          <w:sz w:val="28"/>
        </w:rPr>
      </w:pPr>
      <w:r>
        <w:rPr>
          <w:rFonts w:ascii="仿宋" w:hAnsi="仿宋" w:eastAsia="仿宋" w:cs="仿宋"/>
          <w:sz w:val="28"/>
        </w:rPr>
        <w:t>5、行政后勤绩效单元：建立以岗位责任和项目化工作考核为主的绩效考核体系，划分岗位：管理岗、目标岗、效率岗、任务岗，统计科室及个人项目化工作量。</w:t>
      </w:r>
    </w:p>
    <w:p w14:paraId="0ED4E38C">
      <w:pPr>
        <w:pStyle w:val="7"/>
        <w:ind w:firstLine="280" w:firstLineChars="100"/>
        <w:rPr>
          <w:rFonts w:hint="default" w:ascii="仿宋" w:hAnsi="仿宋" w:eastAsia="仿宋" w:cs="仿宋"/>
          <w:sz w:val="28"/>
        </w:rPr>
      </w:pPr>
      <w:r>
        <w:rPr>
          <w:rFonts w:ascii="仿宋" w:hAnsi="仿宋" w:eastAsia="仿宋" w:cs="仿宋"/>
          <w:sz w:val="28"/>
        </w:rPr>
        <w:t>6、科研绩效单元：建立预算，按科研项目</w:t>
      </w:r>
      <w:r>
        <w:rPr>
          <w:rFonts w:hint="eastAsia" w:ascii="仿宋" w:hAnsi="仿宋" w:eastAsia="仿宋" w:cs="仿宋"/>
          <w:sz w:val="28"/>
          <w:lang w:eastAsia="zh-CN"/>
        </w:rPr>
        <w:t>、</w:t>
      </w:r>
      <w:r>
        <w:rPr>
          <w:rFonts w:ascii="仿宋" w:hAnsi="仿宋" w:eastAsia="仿宋" w:cs="仿宋"/>
          <w:sz w:val="28"/>
        </w:rPr>
        <w:t>学术论文、期刊、著作考核分配。</w:t>
      </w:r>
    </w:p>
    <w:p w14:paraId="6E604B4E">
      <w:pPr>
        <w:pStyle w:val="7"/>
        <w:ind w:firstLine="280" w:firstLineChars="100"/>
        <w:rPr>
          <w:rFonts w:hint="default" w:ascii="仿宋" w:hAnsi="仿宋" w:eastAsia="仿宋" w:cs="仿宋"/>
          <w:sz w:val="28"/>
        </w:rPr>
      </w:pPr>
      <w:r>
        <w:rPr>
          <w:rFonts w:ascii="仿宋" w:hAnsi="仿宋" w:eastAsia="仿宋" w:cs="仿宋"/>
          <w:sz w:val="28"/>
        </w:rPr>
        <w:t>7、专项考核：对医院专项考核进行激励。</w:t>
      </w:r>
    </w:p>
    <w:p w14:paraId="58F693EC">
      <w:pPr>
        <w:pStyle w:val="7"/>
        <w:ind w:firstLine="280" w:firstLineChars="100"/>
        <w:rPr>
          <w:rFonts w:hint="default" w:ascii="仿宋" w:hAnsi="仿宋" w:eastAsia="仿宋" w:cs="仿宋"/>
          <w:sz w:val="28"/>
        </w:rPr>
      </w:pPr>
      <w:r>
        <w:rPr>
          <w:rFonts w:ascii="仿宋" w:hAnsi="仿宋" w:eastAsia="仿宋" w:cs="仿宋"/>
          <w:sz w:val="28"/>
        </w:rPr>
        <w:t>系统平台建成后将全面支持医院绩效考核方案、绩效指标、奖金项目、权重系数、核算单元及第三方接口等方面，全面自主、自定义及可视化操作，全面实现绩效核算基础数据抽取及核算自动化处理。为DRGs及三级公立医院绩效改革提供全面性、开放性的自主绩效核算平台。</w:t>
      </w:r>
    </w:p>
    <w:p w14:paraId="48903D9E">
      <w:pPr>
        <w:pStyle w:val="7"/>
        <w:outlineLvl w:val="0"/>
        <w:rPr>
          <w:rFonts w:hint="default"/>
          <w:b/>
          <w:sz w:val="32"/>
          <w:szCs w:val="32"/>
          <w:lang w:eastAsia="zh-CN"/>
        </w:rPr>
      </w:pPr>
      <w:bookmarkStart w:id="1" w:name="_Toc216992107"/>
      <w:r>
        <w:rPr>
          <w:b/>
          <w:sz w:val="32"/>
          <w:szCs w:val="32"/>
          <w:lang w:eastAsia="zh-CN"/>
        </w:rPr>
        <w:t>二、整体项目规划：</w:t>
      </w:r>
      <w:bookmarkEnd w:id="1"/>
    </w:p>
    <w:p w14:paraId="7552841E">
      <w:pPr>
        <w:pStyle w:val="7"/>
        <w:ind w:firstLine="280" w:firstLineChars="100"/>
        <w:rPr>
          <w:rFonts w:hint="default" w:ascii="仿宋" w:hAnsi="仿宋" w:eastAsia="仿宋" w:cs="仿宋"/>
          <w:sz w:val="28"/>
        </w:rPr>
      </w:pPr>
      <w:r>
        <w:rPr>
          <w:rFonts w:ascii="仿宋" w:hAnsi="仿宋" w:eastAsia="仿宋" w:cs="仿宋"/>
          <w:sz w:val="28"/>
        </w:rPr>
        <w:t>1：全面整合细化现有医院绩效核算方案，从绩效一次核算到绩效科室二次分配，整体实现核算数据系统化存储，核算方案信息处理，科室二次分配流程化控制；</w:t>
      </w:r>
    </w:p>
    <w:p w14:paraId="59534B06">
      <w:pPr>
        <w:pStyle w:val="7"/>
        <w:ind w:firstLine="280" w:firstLineChars="100"/>
        <w:rPr>
          <w:rFonts w:hint="default" w:ascii="仿宋" w:hAnsi="仿宋" w:eastAsia="仿宋" w:cs="仿宋"/>
          <w:sz w:val="28"/>
        </w:rPr>
      </w:pPr>
      <w:r>
        <w:rPr>
          <w:rFonts w:ascii="仿宋" w:hAnsi="仿宋" w:eastAsia="仿宋" w:cs="仿宋"/>
          <w:sz w:val="28"/>
        </w:rPr>
        <w:t>2：逐项打通各大业务系统之间的数据壁垒，全面实现绩效核算数据互联互通。如医疗病种数据、护理操作数据、医技工作量数据及财务成本数据等核算数据；实现绩效核算系统与工资核算系统财务核算系统互联互通，从核算到系统发放至最终生成财务凭证全流程信息化处理；实现绩效相关数据移动端集成；</w:t>
      </w:r>
    </w:p>
    <w:p w14:paraId="2E63D621">
      <w:pPr>
        <w:pStyle w:val="7"/>
        <w:ind w:firstLine="280" w:firstLineChars="100"/>
        <w:rPr>
          <w:rFonts w:hint="default" w:ascii="仿宋" w:hAnsi="仿宋" w:eastAsia="仿宋" w:cs="仿宋"/>
          <w:sz w:val="28"/>
        </w:rPr>
      </w:pPr>
      <w:r>
        <w:rPr>
          <w:rFonts w:ascii="仿宋" w:hAnsi="仿宋" w:eastAsia="仿宋" w:cs="仿宋"/>
          <w:sz w:val="28"/>
        </w:rPr>
        <w:t>3：全面建成与国家DRGs疾病分组及CMI病例难度及三级</w:t>
      </w:r>
      <w:r>
        <w:rPr>
          <w:rFonts w:hint="eastAsia" w:ascii="仿宋" w:hAnsi="仿宋" w:eastAsia="仿宋" w:cs="仿宋"/>
          <w:sz w:val="28"/>
          <w:lang w:val="en-US" w:eastAsia="zh-CN"/>
        </w:rPr>
        <w:t>公立</w:t>
      </w:r>
      <w:r>
        <w:rPr>
          <w:rFonts w:ascii="仿宋" w:hAnsi="仿宋" w:eastAsia="仿宋" w:cs="仿宋"/>
          <w:sz w:val="28"/>
        </w:rPr>
        <w:t>医院绩效考核体系多级联动，具有富顺县中医医院自身特色的绩效核算监管平台；</w:t>
      </w:r>
    </w:p>
    <w:p w14:paraId="3339B96E">
      <w:pPr>
        <w:pStyle w:val="7"/>
        <w:ind w:firstLine="3522" w:firstLineChars="1100"/>
        <w:rPr>
          <w:rFonts w:hint="default"/>
          <w:b/>
          <w:sz w:val="32"/>
          <w:szCs w:val="32"/>
        </w:rPr>
      </w:pPr>
    </w:p>
    <w:p w14:paraId="0FF5A1A5">
      <w:pPr>
        <w:pStyle w:val="7"/>
        <w:outlineLvl w:val="0"/>
        <w:rPr>
          <w:rFonts w:hint="default"/>
          <w:b/>
          <w:sz w:val="32"/>
          <w:szCs w:val="32"/>
        </w:rPr>
      </w:pPr>
      <w:bookmarkStart w:id="2" w:name="_Toc216992108"/>
      <w:r>
        <w:rPr>
          <w:b/>
          <w:sz w:val="32"/>
          <w:szCs w:val="32"/>
          <w:lang w:eastAsia="zh-CN"/>
        </w:rPr>
        <w:t>三、技术参数与性能指标</w:t>
      </w:r>
      <w:bookmarkEnd w:id="2"/>
    </w:p>
    <w:tbl>
      <w:tblPr>
        <w:tblStyle w:val="4"/>
        <w:tblW w:w="9781" w:type="dxa"/>
        <w:tblInd w:w="-14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81"/>
      </w:tblGrid>
      <w:tr w14:paraId="50866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1" w:type="dxa"/>
          </w:tcPr>
          <w:p w14:paraId="0DAD0F9B">
            <w:pPr>
              <w:pStyle w:val="7"/>
              <w:jc w:val="both"/>
              <w:rPr>
                <w:rFonts w:hint="default"/>
              </w:rPr>
            </w:pPr>
            <w:r>
              <w:rPr>
                <w:rFonts w:ascii="仿宋" w:hAnsi="仿宋" w:eastAsia="仿宋" w:cs="仿宋"/>
                <w:b/>
                <w:sz w:val="28"/>
              </w:rPr>
              <w:t>（一）需实现的目标</w:t>
            </w:r>
          </w:p>
          <w:p w14:paraId="02E1EE11">
            <w:pPr>
              <w:pStyle w:val="7"/>
              <w:ind w:firstLine="560"/>
              <w:jc w:val="both"/>
              <w:rPr>
                <w:rFonts w:hint="default"/>
              </w:rPr>
            </w:pPr>
            <w:r>
              <w:rPr>
                <w:rFonts w:ascii="仿宋" w:hAnsi="仿宋" w:eastAsia="仿宋" w:cs="仿宋"/>
                <w:sz w:val="28"/>
              </w:rPr>
              <w:t>1.确保绩效管理工作高效公平。通过绩效管理系统与其他业务系统对接，直接从信息系统获取医院各项绩效指标数据，按照医院不同岗位职责以量化评估数据得以高效管理，同时考核机制更加公平和透明，从而充分激发医护人员的工作积极性，提升患者、员工满意度。用数据对员工的工作表现进行客观评价，激励员工提高工作效率，提高医疗服务质量。促进信息共享和决策支持，提升医院运营效率，并为医院管理者提供全面、准确的数据支持，有助于管理者做出更加科学合理的决策。</w:t>
            </w:r>
          </w:p>
          <w:p w14:paraId="7C8FF72D">
            <w:pPr>
              <w:pStyle w:val="7"/>
              <w:ind w:firstLine="560"/>
              <w:jc w:val="both"/>
              <w:rPr>
                <w:rFonts w:hint="default"/>
              </w:rPr>
            </w:pPr>
            <w:r>
              <w:rPr>
                <w:rFonts w:ascii="仿宋" w:hAnsi="仿宋" w:eastAsia="仿宋" w:cs="仿宋"/>
                <w:sz w:val="28"/>
              </w:rPr>
              <w:t>2.推进公立医院高质量发展。把提高医疗质量作为绩效考核的核心，建立一套符合医院实情的绩效管理系统，保障医院可持续性发展。</w:t>
            </w:r>
          </w:p>
          <w:p w14:paraId="193ED3FA">
            <w:pPr>
              <w:pStyle w:val="7"/>
              <w:ind w:firstLine="562"/>
              <w:jc w:val="both"/>
              <w:rPr>
                <w:rFonts w:hint="default"/>
              </w:rPr>
            </w:pPr>
            <w:r>
              <w:t xml:space="preserve"> </w:t>
            </w:r>
          </w:p>
        </w:tc>
      </w:tr>
      <w:tr w14:paraId="51E9F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1" w:type="dxa"/>
          </w:tcPr>
          <w:p w14:paraId="22EA9340">
            <w:pPr>
              <w:pStyle w:val="7"/>
              <w:jc w:val="both"/>
              <w:rPr>
                <w:rFonts w:hint="default"/>
              </w:rPr>
            </w:pPr>
            <w:r>
              <w:rPr>
                <w:rFonts w:ascii="仿宋" w:hAnsi="仿宋" w:eastAsia="仿宋" w:cs="仿宋"/>
                <w:b/>
                <w:sz w:val="28"/>
              </w:rPr>
              <w:t>（二）需执行的国家标准、行业标准、地方标准或者其他标准规范</w:t>
            </w:r>
          </w:p>
          <w:p w14:paraId="490D7DE4">
            <w:pPr>
              <w:pStyle w:val="7"/>
              <w:ind w:firstLine="560"/>
              <w:jc w:val="both"/>
              <w:rPr>
                <w:rFonts w:hint="default"/>
              </w:rPr>
            </w:pPr>
            <w:r>
              <w:rPr>
                <w:rFonts w:ascii="仿宋" w:hAnsi="仿宋" w:eastAsia="仿宋" w:cs="仿宋"/>
                <w:sz w:val="28"/>
              </w:rPr>
              <w:t>1、国家政策标准</w:t>
            </w:r>
          </w:p>
          <w:p w14:paraId="2796CD16">
            <w:pPr>
              <w:pStyle w:val="7"/>
              <w:ind w:firstLine="560"/>
              <w:jc w:val="both"/>
              <w:rPr>
                <w:rFonts w:hint="default"/>
              </w:rPr>
            </w:pPr>
            <w:r>
              <w:rPr>
                <w:rFonts w:ascii="仿宋" w:hAnsi="仿宋" w:eastAsia="仿宋" w:cs="仿宋"/>
                <w:sz w:val="28"/>
              </w:rPr>
              <w:t>《国务院办公厅关于加强三级公立医院绩效考核工作的意见》（国办发〔2019〕4号）；</w:t>
            </w:r>
          </w:p>
          <w:p w14:paraId="08A46B93">
            <w:pPr>
              <w:pStyle w:val="7"/>
              <w:ind w:firstLine="560"/>
              <w:jc w:val="both"/>
              <w:rPr>
                <w:rFonts w:hint="default"/>
              </w:rPr>
            </w:pPr>
            <w:r>
              <w:rPr>
                <w:rFonts w:ascii="仿宋" w:hAnsi="仿宋" w:eastAsia="仿宋" w:cs="仿宋"/>
                <w:sz w:val="28"/>
              </w:rPr>
              <w:t>《国家三级公立中医医院绩效考核操作手册（202</w:t>
            </w:r>
            <w:r>
              <w:rPr>
                <w:rFonts w:hint="eastAsia" w:ascii="仿宋" w:hAnsi="仿宋" w:eastAsia="仿宋" w:cs="仿宋"/>
                <w:sz w:val="28"/>
                <w:lang w:val="en-US" w:eastAsia="zh-CN"/>
              </w:rPr>
              <w:t>5</w:t>
            </w:r>
            <w:r>
              <w:rPr>
                <w:rFonts w:ascii="仿宋" w:hAnsi="仿宋" w:eastAsia="仿宋" w:cs="仿宋"/>
                <w:sz w:val="28"/>
              </w:rPr>
              <w:t>版）》；</w:t>
            </w:r>
          </w:p>
          <w:p w14:paraId="2E66A832">
            <w:pPr>
              <w:pStyle w:val="7"/>
              <w:ind w:firstLine="560"/>
              <w:jc w:val="both"/>
              <w:rPr>
                <w:rFonts w:hint="default"/>
                <w:highlight w:val="none"/>
              </w:rPr>
            </w:pPr>
            <w:r>
              <w:rPr>
                <w:rFonts w:ascii="仿宋" w:hAnsi="仿宋" w:eastAsia="仿宋" w:cs="仿宋"/>
                <w:sz w:val="28"/>
                <w:highlight w:val="none"/>
              </w:rPr>
              <w:t>《中医病证分类与代码》；</w:t>
            </w:r>
          </w:p>
          <w:p w14:paraId="584CA83C">
            <w:pPr>
              <w:pStyle w:val="7"/>
              <w:ind w:firstLine="560"/>
              <w:jc w:val="both"/>
              <w:rPr>
                <w:rFonts w:hint="default"/>
                <w:highlight w:val="none"/>
              </w:rPr>
            </w:pPr>
            <w:r>
              <w:rPr>
                <w:rFonts w:ascii="仿宋" w:hAnsi="仿宋" w:eastAsia="仿宋" w:cs="仿宋"/>
                <w:sz w:val="28"/>
                <w:highlight w:val="none"/>
              </w:rPr>
              <w:t>《中医临床诊疗术语》。</w:t>
            </w:r>
          </w:p>
          <w:p w14:paraId="2FED959C">
            <w:pPr>
              <w:pStyle w:val="7"/>
              <w:ind w:firstLine="560"/>
              <w:jc w:val="both"/>
              <w:rPr>
                <w:rFonts w:hint="default"/>
              </w:rPr>
            </w:pPr>
            <w:r>
              <w:rPr>
                <w:rFonts w:ascii="仿宋" w:hAnsi="仿宋" w:eastAsia="仿宋" w:cs="仿宋"/>
                <w:sz w:val="28"/>
              </w:rPr>
              <w:t>2、系统开发和实施标准</w:t>
            </w:r>
          </w:p>
          <w:p w14:paraId="3A59B958">
            <w:pPr>
              <w:pStyle w:val="7"/>
              <w:ind w:firstLine="560"/>
              <w:jc w:val="both"/>
              <w:rPr>
                <w:rFonts w:hint="default"/>
              </w:rPr>
            </w:pPr>
            <w:r>
              <w:rPr>
                <w:rFonts w:ascii="仿宋" w:hAnsi="仿宋" w:eastAsia="仿宋" w:cs="仿宋"/>
                <w:sz w:val="28"/>
              </w:rPr>
              <w:t>系统开发遵循国际标准、国家标准、行业内部或地方标准，必要时予以扩充，形成本系统的内部标准。</w:t>
            </w:r>
          </w:p>
          <w:p w14:paraId="2A05467E">
            <w:pPr>
              <w:pStyle w:val="7"/>
              <w:ind w:firstLine="560"/>
              <w:jc w:val="both"/>
              <w:rPr>
                <w:rFonts w:hint="default"/>
                <w:highlight w:val="none"/>
              </w:rPr>
            </w:pPr>
            <w:r>
              <w:rPr>
                <w:rFonts w:ascii="仿宋" w:hAnsi="仿宋" w:eastAsia="仿宋" w:cs="仿宋"/>
                <w:sz w:val="28"/>
                <w:highlight w:val="none"/>
              </w:rPr>
              <w:t>3、软件设计和开发标准</w:t>
            </w:r>
          </w:p>
          <w:p w14:paraId="63B29679">
            <w:pPr>
              <w:pStyle w:val="7"/>
              <w:ind w:firstLine="560"/>
              <w:jc w:val="both"/>
              <w:rPr>
                <w:rFonts w:hint="default"/>
                <w:highlight w:val="none"/>
              </w:rPr>
            </w:pPr>
            <w:r>
              <w:rPr>
                <w:rFonts w:ascii="仿宋" w:hAnsi="仿宋" w:eastAsia="仿宋" w:cs="仿宋"/>
                <w:sz w:val="28"/>
                <w:highlight w:val="none"/>
              </w:rPr>
              <w:t>《信息技术软件工程术语》（GB/T 11457-2006）；</w:t>
            </w:r>
          </w:p>
          <w:p w14:paraId="3E3EDD7C">
            <w:pPr>
              <w:pStyle w:val="7"/>
              <w:ind w:firstLine="560"/>
              <w:jc w:val="both"/>
              <w:rPr>
                <w:rFonts w:hint="default"/>
                <w:highlight w:val="none"/>
              </w:rPr>
            </w:pPr>
            <w:r>
              <w:rPr>
                <w:rFonts w:ascii="仿宋" w:hAnsi="仿宋" w:eastAsia="仿宋" w:cs="仿宋"/>
                <w:sz w:val="28"/>
                <w:highlight w:val="none"/>
              </w:rPr>
              <w:t>《计算机软件文档编制规范》（GB 8567-2006）；</w:t>
            </w:r>
          </w:p>
          <w:p w14:paraId="330F8586">
            <w:pPr>
              <w:pStyle w:val="7"/>
              <w:ind w:firstLine="560"/>
              <w:jc w:val="both"/>
              <w:rPr>
                <w:rFonts w:hint="default"/>
                <w:highlight w:val="none"/>
              </w:rPr>
            </w:pPr>
            <w:r>
              <w:rPr>
                <w:rFonts w:ascii="仿宋" w:hAnsi="仿宋" w:eastAsia="仿宋" w:cs="仿宋"/>
                <w:sz w:val="28"/>
                <w:highlight w:val="none"/>
              </w:rPr>
              <w:t>《信息安全技术应用软件安全编程指南》（GB/T 38674-2020）；</w:t>
            </w:r>
          </w:p>
          <w:p w14:paraId="3C7DD1B7">
            <w:pPr>
              <w:pStyle w:val="7"/>
              <w:ind w:firstLine="560"/>
              <w:jc w:val="both"/>
              <w:rPr>
                <w:rFonts w:hint="default"/>
                <w:highlight w:val="none"/>
              </w:rPr>
            </w:pPr>
            <w:r>
              <w:rPr>
                <w:rFonts w:ascii="仿宋" w:hAnsi="仿宋" w:eastAsia="仿宋" w:cs="仿宋"/>
                <w:sz w:val="28"/>
                <w:highlight w:val="none"/>
              </w:rPr>
              <w:t>《计算机软件测试规范》（GB/T15532-2008）；</w:t>
            </w:r>
          </w:p>
          <w:p w14:paraId="0CC204AC">
            <w:pPr>
              <w:pStyle w:val="7"/>
              <w:ind w:firstLine="560"/>
              <w:jc w:val="both"/>
              <w:rPr>
                <w:rFonts w:hint="default"/>
                <w:highlight w:val="none"/>
              </w:rPr>
            </w:pPr>
            <w:r>
              <w:rPr>
                <w:rFonts w:ascii="仿宋" w:hAnsi="仿宋" w:eastAsia="仿宋" w:cs="仿宋"/>
                <w:sz w:val="28"/>
                <w:highlight w:val="none"/>
              </w:rPr>
              <w:t>《全国医院信息化建设标准与规范》；</w:t>
            </w:r>
          </w:p>
          <w:p w14:paraId="766B9906">
            <w:pPr>
              <w:pStyle w:val="7"/>
              <w:ind w:firstLine="400" w:firstLineChars="200"/>
              <w:rPr>
                <w:rFonts w:hint="default"/>
              </w:rPr>
            </w:pPr>
          </w:p>
        </w:tc>
      </w:tr>
      <w:tr w14:paraId="05D32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1" w:type="dxa"/>
          </w:tcPr>
          <w:p w14:paraId="14EDB57F">
            <w:pPr>
              <w:pStyle w:val="7"/>
              <w:ind w:firstLine="562"/>
              <w:jc w:val="both"/>
              <w:rPr>
                <w:rFonts w:hint="default" w:ascii="仿宋" w:hAnsi="仿宋" w:eastAsia="仿宋" w:cs="仿宋"/>
                <w:sz w:val="28"/>
                <w:lang w:eastAsia="zh-CN"/>
              </w:rPr>
            </w:pPr>
            <w:r>
              <w:rPr>
                <w:rFonts w:ascii="仿宋" w:hAnsi="仿宋" w:eastAsia="仿宋" w:cs="仿宋"/>
                <w:sz w:val="28"/>
                <w:lang w:eastAsia="zh-CN"/>
              </w:rPr>
              <w:t>（三）技术要求：</w:t>
            </w:r>
          </w:p>
          <w:p w14:paraId="7436C10F">
            <w:pPr>
              <w:pStyle w:val="7"/>
              <w:ind w:firstLine="640"/>
              <w:rPr>
                <w:rFonts w:hint="default" w:ascii="仿宋" w:hAnsi="仿宋" w:eastAsia="仿宋" w:cs="仿宋"/>
                <w:sz w:val="28"/>
                <w:lang w:eastAsia="zh-CN"/>
              </w:rPr>
            </w:pPr>
            <w:r>
              <w:rPr>
                <w:rFonts w:ascii="仿宋" w:hAnsi="仿宋" w:eastAsia="仿宋" w:cs="仿宋"/>
                <w:b w:val="0"/>
                <w:bCs w:val="0"/>
                <w:color w:val="C00000"/>
                <w:sz w:val="28"/>
                <w:lang w:eastAsia="zh-CN"/>
              </w:rPr>
              <w:t>1</w:t>
            </w:r>
            <w:r>
              <w:rPr>
                <w:rFonts w:ascii="仿宋" w:hAnsi="仿宋" w:eastAsia="仿宋" w:cs="仿宋"/>
                <w:b w:val="0"/>
                <w:bCs w:val="0"/>
                <w:sz w:val="28"/>
                <w:lang w:eastAsia="zh-CN"/>
              </w:rPr>
              <w:t>.</w:t>
            </w:r>
            <w:r>
              <w:rPr>
                <w:rFonts w:ascii="仿宋" w:hAnsi="仿宋" w:eastAsia="仿宋" w:cs="仿宋"/>
                <w:sz w:val="28"/>
                <w:lang w:eastAsia="zh-CN"/>
              </w:rPr>
              <w:t>实现应用RBRVS评估医院绩效方案设计，建立临床医师、护理、医技、行政、辅助岗位等工作量价值的绩效评估模型，以体现医务人员的劳动价值。系统能根据疾病诊断相关分组付费、大数据病种分值付费，结合CMI等进行综合考核科室绩效。同时，与HIS系统、病案管理系统、手术麻醉管理系统、LIS系统、PACS系统、</w:t>
            </w:r>
            <w:r>
              <w:rPr>
                <w:rFonts w:ascii="仿宋" w:hAnsi="仿宋" w:eastAsia="仿宋" w:cs="仿宋"/>
                <w:sz w:val="28"/>
                <w:highlight w:val="none"/>
                <w:lang w:eastAsia="zh-CN"/>
              </w:rPr>
              <w:t>EMR系统</w:t>
            </w:r>
            <w:r>
              <w:rPr>
                <w:rFonts w:ascii="仿宋" w:hAnsi="仿宋" w:eastAsia="仿宋" w:cs="仿宋"/>
                <w:sz w:val="28"/>
                <w:lang w:eastAsia="zh-CN"/>
              </w:rPr>
              <w:t>、HRP系统、体检系统等完成数据对接，并能通过移动端实现绩效考核闭环管理。</w:t>
            </w:r>
          </w:p>
          <w:p w14:paraId="111EDA29">
            <w:pPr>
              <w:pStyle w:val="7"/>
              <w:ind w:firstLine="560"/>
              <w:jc w:val="both"/>
              <w:rPr>
                <w:rFonts w:hint="default" w:ascii="仿宋" w:hAnsi="仿宋" w:eastAsia="仿宋" w:cs="仿宋"/>
                <w:sz w:val="28"/>
                <w:lang w:eastAsia="zh-CN"/>
              </w:rPr>
            </w:pPr>
            <w:r>
              <w:rPr>
                <w:rFonts w:ascii="仿宋" w:hAnsi="仿宋" w:eastAsia="仿宋" w:cs="仿宋"/>
                <w:sz w:val="28"/>
                <w:lang w:eastAsia="zh-CN"/>
              </w:rPr>
              <w:t>2.医院绩效管理现状调研。全面理解医院对科室及全体人员进行绩效考核、绩效核算与分配、运营管理的需要，梳理现行经济管理、人力资源管理情况、现行绩效考核方案、现行绩效管理流程、医保结算相关制度，撰写医院绩效及运营管理现状调研报告，同时提供整合、优化建议，提交《医院绩效管理改革报告及建议方案》。</w:t>
            </w:r>
          </w:p>
          <w:p w14:paraId="62A4B3DC">
            <w:pPr>
              <w:pStyle w:val="7"/>
              <w:ind w:firstLine="560"/>
              <w:jc w:val="both"/>
              <w:rPr>
                <w:rFonts w:hint="default" w:ascii="仿宋" w:hAnsi="仿宋" w:eastAsia="仿宋" w:cs="仿宋"/>
                <w:sz w:val="28"/>
                <w:lang w:eastAsia="zh-CN"/>
              </w:rPr>
            </w:pPr>
            <w:r>
              <w:rPr>
                <w:rFonts w:ascii="仿宋" w:hAnsi="仿宋" w:eastAsia="仿宋" w:cs="仿宋"/>
                <w:sz w:val="28"/>
                <w:lang w:eastAsia="zh-CN"/>
              </w:rPr>
              <w:t>3.建立多层次的绩效考核指标体系。建立包括医院、科室、岗位的绩效考核指标体系。应用关键指标考核法、平衡记分卡、目标管理方法，全面考核工作量、服务质量、成本控制、行为规范、患者满意度等指标，明确各指标的含义和算法、指标权重、考核方法。应用DRG、RBRVS、服务人次积分等方法，体现急诊、危重症、手术操作的技术难度和复杂程度。建立全院统一的RBRVS积分、服务工作量积分测算体系，建立共性与个性相结合的个人工作量积分核算体系，体现知识、技术、劳动、管理等要素。</w:t>
            </w:r>
          </w:p>
          <w:p w14:paraId="4A911AC9">
            <w:pPr>
              <w:pStyle w:val="7"/>
              <w:ind w:firstLine="560"/>
              <w:jc w:val="both"/>
              <w:rPr>
                <w:rFonts w:hint="default" w:ascii="仿宋" w:hAnsi="仿宋" w:eastAsia="仿宋" w:cs="仿宋"/>
                <w:sz w:val="28"/>
                <w:lang w:eastAsia="zh-CN"/>
              </w:rPr>
            </w:pPr>
            <w:r>
              <w:rPr>
                <w:rFonts w:ascii="仿宋" w:hAnsi="仿宋" w:eastAsia="仿宋" w:cs="仿宋"/>
                <w:sz w:val="28"/>
                <w:lang w:eastAsia="zh-CN"/>
              </w:rPr>
              <w:t>4.完善薪酬分配管理体系。优化医院薪酬结构、明确各系列、各部门的薪酬水平，明确各薪酬科目的分配流程和绩效考核办法。明确各部门核心指标的目标值，提供基于绩效目标的预算工具并进行测算调整，基于医院历史绩效数据，对薪酬分配方案进行测算和对比分析，提出新老方案过渡原则和实施方案。</w:t>
            </w:r>
          </w:p>
          <w:p w14:paraId="068092CD">
            <w:pPr>
              <w:pStyle w:val="7"/>
              <w:ind w:firstLine="560"/>
              <w:jc w:val="both"/>
              <w:rPr>
                <w:rFonts w:hint="default" w:ascii="仿宋" w:hAnsi="仿宋" w:eastAsia="仿宋" w:cs="仿宋"/>
                <w:sz w:val="28"/>
                <w:lang w:eastAsia="zh-CN"/>
              </w:rPr>
            </w:pPr>
            <w:r>
              <w:rPr>
                <w:rFonts w:ascii="仿宋" w:hAnsi="仿宋" w:eastAsia="仿宋" w:cs="仿宋"/>
                <w:sz w:val="28"/>
                <w:lang w:eastAsia="zh-CN"/>
              </w:rPr>
              <w:t>5.规范二次分配流程。按照分级管理、共性与个性相结合原则，建立全院统一、规范的个人绩效考核与薪酬分配体系，指导各部门个性化，并通过绩效管理系统整合，实现个人考核分配的标准化、自动化。结合现有业务系统数据，设计医生、护士、技师、药师、行政后勤等各类人员的服务量、出勤时数、业务量指标体系及积分标准，绩效不与收入挂钩。</w:t>
            </w:r>
          </w:p>
          <w:p w14:paraId="128660A2">
            <w:pPr>
              <w:pStyle w:val="7"/>
              <w:ind w:firstLine="560"/>
              <w:jc w:val="both"/>
              <w:rPr>
                <w:rFonts w:hint="default" w:ascii="仿宋" w:hAnsi="仿宋" w:eastAsia="仿宋" w:cs="仿宋"/>
                <w:sz w:val="28"/>
                <w:lang w:eastAsia="zh-CN"/>
              </w:rPr>
            </w:pPr>
            <w:r>
              <w:rPr>
                <w:rFonts w:ascii="仿宋" w:hAnsi="仿宋" w:eastAsia="仿宋" w:cs="仿宋"/>
                <w:sz w:val="28"/>
                <w:lang w:eastAsia="zh-CN"/>
              </w:rPr>
              <w:t>6.组织架构功能</w:t>
            </w:r>
          </w:p>
          <w:p w14:paraId="7BA908A5">
            <w:pPr>
              <w:pStyle w:val="7"/>
              <w:ind w:firstLine="560"/>
              <w:jc w:val="both"/>
              <w:rPr>
                <w:rFonts w:hint="default" w:ascii="仿宋" w:hAnsi="仿宋" w:eastAsia="仿宋" w:cs="仿宋"/>
                <w:sz w:val="28"/>
                <w:lang w:eastAsia="zh-CN"/>
              </w:rPr>
            </w:pPr>
            <w:r>
              <w:rPr>
                <w:rFonts w:ascii="仿宋" w:hAnsi="仿宋" w:eastAsia="仿宋" w:cs="仿宋"/>
                <w:sz w:val="28"/>
                <w:lang w:eastAsia="zh-CN"/>
              </w:rPr>
              <w:t>绩效核算单元的组织架构设置，支持主数据自定义对应统一，与HIS系统科室进行对应关联，便于抽取归并收入相关业务数据；支持与HRP系统科室进行实时同步，实现数据的无缝集成，需同时实现数据的双向查询，便于抽取归并支出相关业务数据。同时，支持绩效发放小组自定义设置，与绩效核算组织架构对应关联。</w:t>
            </w:r>
          </w:p>
          <w:p w14:paraId="1256E233">
            <w:pPr>
              <w:pStyle w:val="7"/>
              <w:ind w:firstLine="560"/>
              <w:jc w:val="both"/>
              <w:rPr>
                <w:rFonts w:hint="default" w:ascii="仿宋" w:hAnsi="仿宋" w:eastAsia="仿宋" w:cs="仿宋"/>
                <w:sz w:val="28"/>
                <w:lang w:eastAsia="zh-CN"/>
              </w:rPr>
            </w:pPr>
            <w:r>
              <w:rPr>
                <w:rFonts w:ascii="仿宋" w:hAnsi="仿宋" w:eastAsia="仿宋" w:cs="仿宋"/>
                <w:sz w:val="28"/>
                <w:lang w:eastAsia="zh-CN"/>
              </w:rPr>
              <w:t>7.人员功能模块</w:t>
            </w:r>
          </w:p>
          <w:p w14:paraId="2CCB9F22">
            <w:pPr>
              <w:pStyle w:val="7"/>
              <w:ind w:firstLine="560"/>
              <w:jc w:val="both"/>
              <w:rPr>
                <w:rFonts w:hint="default" w:ascii="仿宋" w:hAnsi="仿宋" w:eastAsia="仿宋" w:cs="仿宋"/>
                <w:sz w:val="28"/>
                <w:lang w:eastAsia="zh-CN"/>
              </w:rPr>
            </w:pPr>
            <w:r>
              <w:rPr>
                <w:rFonts w:ascii="仿宋" w:hAnsi="仿宋" w:eastAsia="仿宋" w:cs="仿宋"/>
                <w:sz w:val="28"/>
                <w:lang w:eastAsia="zh-CN"/>
              </w:rPr>
              <w:t>支持与医院人事系统进行集成，自动同步人事系统人员信息数据，并能与HIS</w:t>
            </w:r>
            <w:r>
              <w:rPr>
                <w:rFonts w:hint="eastAsia" w:ascii="仿宋" w:hAnsi="仿宋" w:eastAsia="仿宋" w:cs="仿宋"/>
                <w:sz w:val="28"/>
                <w:lang w:eastAsia="zh-CN"/>
              </w:rPr>
              <w:t>、</w:t>
            </w:r>
            <w:r>
              <w:rPr>
                <w:rFonts w:hint="eastAsia" w:ascii="仿宋" w:hAnsi="仿宋" w:eastAsia="仿宋" w:cs="仿宋"/>
                <w:sz w:val="28"/>
                <w:lang w:val="en-US" w:eastAsia="zh-CN"/>
              </w:rPr>
              <w:t>HRP</w:t>
            </w:r>
            <w:r>
              <w:rPr>
                <w:rFonts w:ascii="仿宋" w:hAnsi="仿宋" w:eastAsia="仿宋" w:cs="仿宋"/>
                <w:sz w:val="28"/>
                <w:lang w:eastAsia="zh-CN"/>
              </w:rPr>
              <w:t>系统人员信息对应维护，包括但不仅限于工号、姓名、身份证号码、岗位、职称、职务、出勤情况等信息。</w:t>
            </w:r>
          </w:p>
          <w:p w14:paraId="0AD6CD44">
            <w:pPr>
              <w:pStyle w:val="7"/>
              <w:ind w:firstLine="560"/>
              <w:jc w:val="both"/>
              <w:rPr>
                <w:rFonts w:hint="default" w:ascii="仿宋" w:hAnsi="仿宋" w:eastAsia="仿宋" w:cs="仿宋"/>
                <w:sz w:val="28"/>
                <w:lang w:eastAsia="zh-CN"/>
              </w:rPr>
            </w:pPr>
            <w:r>
              <w:rPr>
                <w:rFonts w:ascii="仿宋" w:hAnsi="仿宋" w:eastAsia="仿宋" w:cs="仿宋"/>
                <w:sz w:val="28"/>
                <w:lang w:eastAsia="zh-CN"/>
              </w:rPr>
              <w:t>8.RBRVS基础点值</w:t>
            </w:r>
          </w:p>
          <w:p w14:paraId="66EC94E5">
            <w:pPr>
              <w:pStyle w:val="7"/>
              <w:ind w:firstLine="560"/>
              <w:jc w:val="both"/>
              <w:rPr>
                <w:rFonts w:hint="default" w:ascii="仿宋" w:hAnsi="仿宋" w:eastAsia="仿宋" w:cs="仿宋"/>
                <w:sz w:val="28"/>
                <w:lang w:eastAsia="zh-CN"/>
              </w:rPr>
            </w:pPr>
            <w:r>
              <w:rPr>
                <w:rFonts w:ascii="仿宋" w:hAnsi="仿宋" w:eastAsia="仿宋" w:cs="仿宋"/>
                <w:sz w:val="28"/>
                <w:lang w:eastAsia="zh-CN"/>
              </w:rPr>
              <w:t>根据医院医疗收费项目建立健全符合医院内部使用的RBRVS基础点值模块。该模块能支持该点值的新增、更新、删除、启用、停用和动态调整，同时支持RBRVS基础点值自定义功能。RBRVS点值要考虑相应项目的成本，确保绩效支出适应医院整体运营，实现绩效支出与成本控制联动的目标。</w:t>
            </w:r>
          </w:p>
          <w:p w14:paraId="727C499F">
            <w:pPr>
              <w:pStyle w:val="7"/>
              <w:ind w:firstLine="560"/>
              <w:jc w:val="both"/>
              <w:rPr>
                <w:rFonts w:hint="default" w:ascii="仿宋" w:hAnsi="仿宋" w:eastAsia="仿宋" w:cs="仿宋"/>
                <w:sz w:val="28"/>
                <w:lang w:eastAsia="zh-CN"/>
              </w:rPr>
            </w:pPr>
            <w:r>
              <w:rPr>
                <w:rFonts w:ascii="仿宋" w:hAnsi="仿宋" w:eastAsia="仿宋" w:cs="仿宋"/>
                <w:sz w:val="28"/>
                <w:lang w:eastAsia="zh-CN"/>
              </w:rPr>
              <w:t>9.临床医生绩效评价模块</w:t>
            </w:r>
          </w:p>
          <w:p w14:paraId="0301A1D8">
            <w:pPr>
              <w:pStyle w:val="7"/>
              <w:ind w:firstLine="560"/>
              <w:jc w:val="both"/>
              <w:rPr>
                <w:rFonts w:hint="default" w:ascii="仿宋" w:hAnsi="仿宋" w:eastAsia="仿宋" w:cs="仿宋"/>
                <w:sz w:val="28"/>
                <w:lang w:eastAsia="zh-CN"/>
              </w:rPr>
            </w:pPr>
            <w:r>
              <w:rPr>
                <w:rFonts w:ascii="仿宋" w:hAnsi="仿宋" w:eastAsia="仿宋" w:cs="仿宋"/>
                <w:sz w:val="28"/>
                <w:lang w:eastAsia="zh-CN"/>
              </w:rPr>
              <w:t>能实现RBRVS点值汇总归集、导出。通过RBRVS数据库，依据RBRVS把全院医疗收费项目价格转换为绩效点数，作为衡量医师人员的工作量的基准。将体现服务量因素的门诊人次、出院人次、手术人次、操作（含中医非药物疗法）、占床日数、检查化验人次等量化为绩效点数进行绩效评价，且量化为绩效点数能够统计到医师个人。同时，要建立医护协作绩效评价机制，促进医护高效配合。前期对各临床专科的工作负荷情况进行测算，确保高负荷工作量高回报，低负荷工作量低回报。对各临床科室现在的实际工作负荷进行测算，并给定行业绩效水平标准。对工作负荷不足的部分，要根据实际工作负荷，合理确定相应薪资水平。</w:t>
            </w:r>
          </w:p>
          <w:p w14:paraId="4FC45ED8">
            <w:pPr>
              <w:pStyle w:val="7"/>
              <w:ind w:firstLine="560"/>
              <w:jc w:val="both"/>
              <w:rPr>
                <w:rFonts w:hint="default" w:ascii="仿宋" w:hAnsi="仿宋" w:eastAsia="仿宋" w:cs="仿宋"/>
                <w:sz w:val="28"/>
                <w:lang w:eastAsia="zh-CN"/>
              </w:rPr>
            </w:pPr>
            <w:r>
              <w:rPr>
                <w:rFonts w:ascii="仿宋" w:hAnsi="仿宋" w:eastAsia="仿宋" w:cs="仿宋"/>
                <w:sz w:val="28"/>
                <w:lang w:eastAsia="zh-CN"/>
              </w:rPr>
              <w:t>根据科室的特性和发展战略量体裁衣，设置贴合中医院实际的绩效考核指标（如：中医儿科、康复科，中医适宜技术，中药饮片占比等）。</w:t>
            </w:r>
          </w:p>
          <w:p w14:paraId="73164590">
            <w:pPr>
              <w:pStyle w:val="7"/>
              <w:ind w:firstLine="560"/>
              <w:jc w:val="both"/>
              <w:rPr>
                <w:rFonts w:hint="default" w:ascii="仿宋" w:hAnsi="仿宋" w:eastAsia="仿宋" w:cs="仿宋"/>
                <w:sz w:val="28"/>
                <w:lang w:eastAsia="zh-CN"/>
              </w:rPr>
            </w:pPr>
            <w:r>
              <w:rPr>
                <w:rFonts w:ascii="仿宋" w:hAnsi="仿宋" w:eastAsia="仿宋" w:cs="仿宋"/>
                <w:sz w:val="28"/>
                <w:lang w:eastAsia="zh-CN"/>
              </w:rPr>
              <w:t>10.临床护士绩效评价模块</w:t>
            </w:r>
          </w:p>
          <w:p w14:paraId="61E881C0">
            <w:pPr>
              <w:pStyle w:val="7"/>
              <w:ind w:firstLine="560"/>
              <w:jc w:val="both"/>
              <w:rPr>
                <w:rFonts w:hint="default" w:ascii="仿宋" w:hAnsi="仿宋" w:eastAsia="仿宋" w:cs="仿宋"/>
                <w:sz w:val="28"/>
                <w:lang w:eastAsia="zh-CN"/>
              </w:rPr>
            </w:pPr>
            <w:r>
              <w:rPr>
                <w:rFonts w:ascii="仿宋" w:hAnsi="仿宋" w:eastAsia="仿宋" w:cs="仿宋"/>
                <w:sz w:val="28"/>
                <w:lang w:eastAsia="zh-CN"/>
              </w:rPr>
              <w:t>建立护理垂直管理体系，能够实现RBRVS点值汇总归集、导出。通过RBRVS数据库，依据RBRVS把全院医疗收费项目价格转换为绩效点数，作为衡量护理人员的工作量的基准。将体现护理服务量因素的占床数、出院人次、护理操作等可量化的绩效点数进行评价。要兼顾护理岗位中一些不能量化的工作（如护理文书、患者满意度评价等）劳动付出的绩效评价。同时，要建立医护协作绩效评价机制，促进医护高效配合。前期对各临床专科的护士工作负荷情况进行测算，确保高负荷工作量高回报，低负荷工作量低回报。对各临床科室现在的实际工作负荷进行测算，并给定行业绩效水平标准。对工作负荷不足的部分，要根据实际工作负荷，合理确定相应薪资水平。</w:t>
            </w:r>
          </w:p>
          <w:p w14:paraId="17E3820B">
            <w:pPr>
              <w:pStyle w:val="7"/>
              <w:ind w:firstLine="560"/>
              <w:jc w:val="both"/>
              <w:rPr>
                <w:rFonts w:hint="default" w:ascii="仿宋" w:hAnsi="仿宋" w:eastAsia="仿宋" w:cs="仿宋"/>
                <w:sz w:val="28"/>
                <w:lang w:eastAsia="zh-CN"/>
              </w:rPr>
            </w:pPr>
            <w:r>
              <w:rPr>
                <w:rFonts w:ascii="仿宋" w:hAnsi="仿宋" w:eastAsia="仿宋" w:cs="仿宋"/>
                <w:sz w:val="28"/>
                <w:lang w:eastAsia="zh-CN"/>
              </w:rPr>
              <w:t xml:space="preserve">11.医技人员绩效评价模块 </w:t>
            </w:r>
          </w:p>
          <w:p w14:paraId="40ED9B7D">
            <w:pPr>
              <w:pStyle w:val="7"/>
              <w:ind w:firstLine="560"/>
              <w:jc w:val="both"/>
              <w:rPr>
                <w:rFonts w:hint="default" w:ascii="仿宋" w:hAnsi="仿宋" w:eastAsia="仿宋" w:cs="仿宋"/>
                <w:sz w:val="28"/>
                <w:lang w:eastAsia="zh-CN"/>
              </w:rPr>
            </w:pPr>
            <w:r>
              <w:rPr>
                <w:rFonts w:ascii="仿宋" w:hAnsi="仿宋" w:eastAsia="仿宋" w:cs="仿宋"/>
                <w:sz w:val="28"/>
                <w:lang w:eastAsia="zh-CN"/>
              </w:rPr>
              <w:t>能实现RBRVS点值汇总归集、导出。以执行医技检查项目为基础，综合检查项目难度对应RBRVS点值数据库，依据RBRVS把全院医技收费项目价格转换为绩效点数，作为衡量医技人员的工作量的基准。对医技人员工作量、工作难度进行绩效评价。前期对各临床专科的工作负荷情况进行测算，确保高负荷工作量高回报，低负荷工作量低回报。对各医技科室现在的实际工作负荷进行测算，并给定行业绩效水平标准。对工作负荷不足的部分，要根据实际工作负荷，合理确定相应薪资水平。</w:t>
            </w:r>
          </w:p>
          <w:p w14:paraId="79217E0C">
            <w:pPr>
              <w:pStyle w:val="7"/>
              <w:ind w:firstLine="560"/>
              <w:jc w:val="both"/>
              <w:rPr>
                <w:rFonts w:hint="default" w:ascii="仿宋" w:hAnsi="仿宋" w:eastAsia="仿宋" w:cs="仿宋"/>
                <w:sz w:val="28"/>
                <w:lang w:eastAsia="zh-CN"/>
              </w:rPr>
            </w:pPr>
            <w:r>
              <w:rPr>
                <w:rFonts w:ascii="仿宋" w:hAnsi="仿宋" w:eastAsia="仿宋" w:cs="仿宋"/>
                <w:sz w:val="28"/>
                <w:lang w:eastAsia="zh-CN"/>
              </w:rPr>
              <w:t>12.特殊及辅助科室绩效评价模块</w:t>
            </w:r>
          </w:p>
          <w:p w14:paraId="177DD4EB">
            <w:pPr>
              <w:pStyle w:val="7"/>
              <w:ind w:firstLine="560"/>
              <w:jc w:val="both"/>
              <w:rPr>
                <w:rFonts w:hint="default" w:ascii="仿宋" w:hAnsi="仿宋" w:eastAsia="仿宋" w:cs="仿宋"/>
                <w:sz w:val="28"/>
                <w:lang w:eastAsia="zh-CN"/>
              </w:rPr>
            </w:pPr>
            <w:r>
              <w:rPr>
                <w:rFonts w:ascii="仿宋" w:hAnsi="仿宋" w:eastAsia="仿宋" w:cs="仿宋"/>
                <w:sz w:val="28"/>
                <w:lang w:eastAsia="zh-CN"/>
              </w:rPr>
              <w:t>要充分考虑科室的特点，合理确定其衡量工作量的基础指标，明确统计口径，通过历史水平、医院发展趋势，并充分考虑与医护技科室的绩效工资水平差距，综合确定这类科室的薪酬水平。明确该类科室人均最大工作负荷，并设置提醒，作为科室人力资源配置原则，同时要对当前人均工作负荷进行评价，确保工作负荷与薪酬水平相适应。</w:t>
            </w:r>
          </w:p>
          <w:p w14:paraId="212151CB">
            <w:pPr>
              <w:pStyle w:val="7"/>
              <w:ind w:firstLine="560"/>
              <w:jc w:val="both"/>
              <w:rPr>
                <w:rFonts w:hint="default" w:ascii="仿宋" w:hAnsi="仿宋" w:eastAsia="仿宋" w:cs="仿宋"/>
                <w:sz w:val="28"/>
                <w:lang w:eastAsia="zh-CN"/>
              </w:rPr>
            </w:pPr>
            <w:r>
              <w:rPr>
                <w:rFonts w:ascii="仿宋" w:hAnsi="仿宋" w:eastAsia="仿宋" w:cs="仿宋"/>
                <w:sz w:val="28"/>
                <w:lang w:eastAsia="zh-CN"/>
              </w:rPr>
              <w:t>对医院特殊人员包括返聘人员根据医院实际情况及劳动价值产出等多维度，给予合理的绩效评价方案。同时，要充分考虑退休返聘名老中医的特殊性和价值，合理确定相应的薪酬水平及考核指标。</w:t>
            </w:r>
          </w:p>
          <w:p w14:paraId="4A322769">
            <w:pPr>
              <w:pStyle w:val="7"/>
              <w:ind w:firstLine="560"/>
              <w:jc w:val="both"/>
              <w:rPr>
                <w:rFonts w:hint="default" w:ascii="仿宋" w:hAnsi="仿宋" w:eastAsia="仿宋" w:cs="仿宋"/>
                <w:sz w:val="28"/>
                <w:lang w:eastAsia="zh-CN"/>
              </w:rPr>
            </w:pPr>
            <w:r>
              <w:rPr>
                <w:rFonts w:ascii="仿宋" w:hAnsi="仿宋" w:eastAsia="仿宋" w:cs="仿宋"/>
                <w:sz w:val="28"/>
                <w:lang w:eastAsia="zh-CN"/>
              </w:rPr>
              <w:t>13.行政后勤绩效评价模块</w:t>
            </w:r>
          </w:p>
          <w:p w14:paraId="2905B41F">
            <w:pPr>
              <w:pStyle w:val="7"/>
              <w:ind w:firstLine="560"/>
              <w:jc w:val="both"/>
              <w:rPr>
                <w:rFonts w:hint="default" w:ascii="仿宋" w:hAnsi="仿宋" w:eastAsia="仿宋" w:cs="仿宋"/>
                <w:sz w:val="28"/>
                <w:lang w:eastAsia="zh-CN"/>
              </w:rPr>
            </w:pPr>
            <w:r>
              <w:rPr>
                <w:rFonts w:ascii="仿宋" w:hAnsi="仿宋" w:eastAsia="仿宋" w:cs="仿宋"/>
                <w:sz w:val="28"/>
                <w:lang w:eastAsia="zh-CN"/>
              </w:rPr>
              <w:t>行政后勤绩效工资分配实行岗位绩效工资制度，从每个岗位的评价，进一步明确各个岗位的相对级次，到人员对应岗位，最终完成全院的人员对应岗位级别与职系类别数据，作为行政后勤绩效工资方案的分配基准。同时要对每个岗位设计绩效评价考核指标，系统具备行政后勤绩效评价模块，支持岗位设置、年终综合目标达成情况的影响录入，能够根据公立医院运营特性，初步建立较为科学的评价行政后勤综合工作绩效。对职能部门的岗位职责要合理界定，对职责范围内的工作，不能再设立单项绩效奖励机制。要为医院提供该类科室绩效考核方案设计指导，协助医院完成绩效考核和奖金分配。</w:t>
            </w:r>
          </w:p>
          <w:p w14:paraId="71EB5AB3">
            <w:pPr>
              <w:pStyle w:val="7"/>
              <w:ind w:firstLine="560"/>
              <w:jc w:val="both"/>
              <w:rPr>
                <w:rFonts w:hint="default" w:ascii="仿宋" w:hAnsi="仿宋" w:eastAsia="仿宋" w:cs="仿宋"/>
                <w:sz w:val="28"/>
                <w:lang w:eastAsia="zh-CN"/>
              </w:rPr>
            </w:pPr>
            <w:r>
              <w:rPr>
                <w:rFonts w:ascii="仿宋" w:hAnsi="仿宋" w:eastAsia="仿宋" w:cs="仿宋"/>
                <w:sz w:val="28"/>
                <w:lang w:eastAsia="zh-CN"/>
              </w:rPr>
              <w:t>14.专项绩效评价模块</w:t>
            </w:r>
          </w:p>
          <w:p w14:paraId="2363B537">
            <w:pPr>
              <w:pStyle w:val="7"/>
              <w:ind w:firstLine="560"/>
              <w:jc w:val="both"/>
              <w:rPr>
                <w:rFonts w:hint="default" w:ascii="仿宋" w:hAnsi="仿宋" w:eastAsia="仿宋" w:cs="仿宋"/>
                <w:sz w:val="28"/>
                <w:lang w:eastAsia="zh-CN"/>
              </w:rPr>
            </w:pPr>
            <w:r>
              <w:rPr>
                <w:rFonts w:ascii="仿宋" w:hAnsi="仿宋" w:eastAsia="仿宋" w:cs="仿宋"/>
                <w:sz w:val="28"/>
                <w:lang w:eastAsia="zh-CN"/>
              </w:rPr>
              <w:t>支持自定义维护模式，可根据不同发展时期，制定相应的专项绩效评价模块。能维护和管理核算专项绩效的特有工作绩效，如手术难度和台次等多维度进行增量评价和激励。所有专项绩效方案的设计都要以短期引导作用为基础，明确专项绩效的适用时限，要有对专项绩效适应医院发展的动态调整机制、结束机制等。</w:t>
            </w:r>
          </w:p>
          <w:p w14:paraId="15F94D2F">
            <w:pPr>
              <w:pStyle w:val="7"/>
              <w:ind w:firstLine="560"/>
              <w:jc w:val="both"/>
              <w:rPr>
                <w:rFonts w:hint="default" w:ascii="仿宋" w:hAnsi="仿宋" w:eastAsia="仿宋" w:cs="仿宋"/>
                <w:sz w:val="28"/>
                <w:lang w:eastAsia="zh-CN"/>
              </w:rPr>
            </w:pPr>
            <w:r>
              <w:rPr>
                <w:rFonts w:ascii="仿宋" w:hAnsi="仿宋" w:eastAsia="仿宋" w:cs="仿宋"/>
                <w:sz w:val="28"/>
                <w:lang w:eastAsia="zh-CN"/>
              </w:rPr>
              <w:t>15.科室直接成本管控模块</w:t>
            </w:r>
          </w:p>
          <w:p w14:paraId="6A726735">
            <w:pPr>
              <w:pStyle w:val="7"/>
              <w:ind w:firstLine="560"/>
              <w:jc w:val="both"/>
              <w:rPr>
                <w:rFonts w:hint="default" w:ascii="仿宋" w:hAnsi="仿宋" w:eastAsia="仿宋" w:cs="仿宋"/>
                <w:sz w:val="28"/>
                <w:lang w:eastAsia="zh-CN"/>
              </w:rPr>
            </w:pPr>
            <w:r>
              <w:rPr>
                <w:rFonts w:ascii="仿宋" w:hAnsi="仿宋" w:eastAsia="仿宋" w:cs="仿宋"/>
                <w:sz w:val="28"/>
                <w:lang w:eastAsia="zh-CN"/>
              </w:rPr>
              <w:t>（1）建立医院科室全成本考核管控体系，将科室直接成本与医院全成本结合，多维度反应医院科室成本真实性，结合医院绩效考核，运用于绩效核算，全面实现绩效分配的公平性。绩效方案将成本全部纳入绩效工资核算管理，充分考虑科室可控成本及不可控成本，包含但不仅限于科室房屋折旧、人力成本、设备折旧等固定成本，卫生材料、药品、办公用品、医辅、管理相关部门发生的费用等变动成本。</w:t>
            </w:r>
          </w:p>
          <w:p w14:paraId="12FCC56C">
            <w:pPr>
              <w:pStyle w:val="7"/>
              <w:ind w:firstLine="560"/>
              <w:jc w:val="both"/>
              <w:rPr>
                <w:rFonts w:hint="default" w:ascii="仿宋" w:hAnsi="仿宋" w:eastAsia="仿宋" w:cs="仿宋"/>
                <w:sz w:val="28"/>
                <w:lang w:eastAsia="zh-CN"/>
              </w:rPr>
            </w:pPr>
            <w:r>
              <w:rPr>
                <w:rFonts w:ascii="仿宋" w:hAnsi="仿宋" w:eastAsia="仿宋" w:cs="仿宋"/>
                <w:sz w:val="28"/>
                <w:lang w:eastAsia="zh-CN"/>
              </w:rPr>
              <w:t>（2）支持与医院成本管理系统对接，确保数据准确，强化成本控制。</w:t>
            </w:r>
          </w:p>
          <w:p w14:paraId="4DF373A5">
            <w:pPr>
              <w:pStyle w:val="7"/>
              <w:ind w:firstLine="560"/>
              <w:jc w:val="both"/>
              <w:rPr>
                <w:rFonts w:hint="default" w:ascii="仿宋" w:hAnsi="仿宋" w:eastAsia="仿宋" w:cs="仿宋"/>
                <w:sz w:val="28"/>
                <w:lang w:eastAsia="zh-CN"/>
              </w:rPr>
            </w:pPr>
            <w:r>
              <w:rPr>
                <w:rFonts w:ascii="仿宋" w:hAnsi="仿宋" w:eastAsia="仿宋" w:cs="仿宋"/>
                <w:sz w:val="28"/>
                <w:lang w:eastAsia="zh-CN"/>
              </w:rPr>
              <w:t>（3）完善成本考核指标，使指标与科室病种相匹配，能够提供行业的一个标杆值作为参考，指导科室合理管控成本。</w:t>
            </w:r>
          </w:p>
          <w:p w14:paraId="00FE6BC3">
            <w:pPr>
              <w:pStyle w:val="7"/>
              <w:ind w:firstLine="560"/>
              <w:jc w:val="both"/>
              <w:rPr>
                <w:rFonts w:hint="default" w:ascii="仿宋" w:hAnsi="仿宋" w:eastAsia="仿宋" w:cs="仿宋"/>
                <w:sz w:val="28"/>
                <w:lang w:eastAsia="zh-CN"/>
              </w:rPr>
            </w:pPr>
            <w:r>
              <w:rPr>
                <w:rFonts w:ascii="仿宋" w:hAnsi="仿宋" w:eastAsia="仿宋" w:cs="仿宋"/>
                <w:sz w:val="28"/>
                <w:lang w:eastAsia="zh-CN"/>
              </w:rPr>
              <w:t>16.关键业绩指标模块</w:t>
            </w:r>
          </w:p>
          <w:p w14:paraId="7380996E">
            <w:pPr>
              <w:pStyle w:val="7"/>
              <w:ind w:firstLine="560"/>
              <w:jc w:val="both"/>
              <w:rPr>
                <w:rFonts w:hint="default" w:ascii="仿宋" w:hAnsi="仿宋" w:eastAsia="仿宋" w:cs="仿宋"/>
                <w:sz w:val="28"/>
                <w:lang w:eastAsia="zh-CN"/>
              </w:rPr>
            </w:pPr>
            <w:r>
              <w:rPr>
                <w:rFonts w:ascii="仿宋" w:hAnsi="仿宋" w:eastAsia="仿宋" w:cs="仿宋"/>
                <w:sz w:val="28"/>
                <w:lang w:eastAsia="zh-CN"/>
              </w:rPr>
              <w:t>建立关键业绩指标，设计全院各类别科室基于KPI的关键业绩指标绩效考核方案，考核项符合“SMART”原则，结合“三级公立中医医院绩效考核体系”指标，使考核更加科学化、规范化，更能保证绩效考核的公正、公开与公平。指标考核要嵌入中医药特色优势发挥的指标，结合国家三级公立中医医院绩效考核指标体系，合理配置相应的考核指标，落实医院功能定位。</w:t>
            </w:r>
          </w:p>
          <w:p w14:paraId="423C37C9">
            <w:pPr>
              <w:pStyle w:val="7"/>
              <w:ind w:firstLine="560"/>
              <w:jc w:val="both"/>
              <w:rPr>
                <w:rFonts w:hint="default" w:ascii="仿宋" w:hAnsi="仿宋" w:eastAsia="仿宋" w:cs="仿宋"/>
                <w:sz w:val="28"/>
                <w:lang w:eastAsia="zh-CN"/>
              </w:rPr>
            </w:pPr>
            <w:r>
              <w:rPr>
                <w:rFonts w:ascii="仿宋" w:hAnsi="仿宋" w:eastAsia="仿宋" w:cs="仿宋"/>
                <w:sz w:val="28"/>
                <w:lang w:eastAsia="zh-CN"/>
              </w:rPr>
              <w:t>17.一次评价分配模块</w:t>
            </w:r>
          </w:p>
          <w:p w14:paraId="7AB22DE2">
            <w:pPr>
              <w:pStyle w:val="7"/>
              <w:ind w:firstLine="560"/>
              <w:jc w:val="both"/>
              <w:rPr>
                <w:rFonts w:hint="default" w:ascii="仿宋" w:hAnsi="仿宋" w:eastAsia="仿宋" w:cs="仿宋"/>
                <w:sz w:val="28"/>
                <w:lang w:eastAsia="zh-CN"/>
              </w:rPr>
            </w:pPr>
            <w:r>
              <w:rPr>
                <w:rFonts w:ascii="仿宋" w:hAnsi="仿宋" w:eastAsia="仿宋" w:cs="仿宋"/>
                <w:sz w:val="28"/>
                <w:lang w:eastAsia="zh-CN"/>
              </w:rPr>
              <w:t>按照院科两级，制定一次绩效分配到科室。按照医院设置的绩效方案中的点数、规则和公式进行一次分配，可对特殊科室给予一定政策支持。</w:t>
            </w:r>
          </w:p>
          <w:p w14:paraId="382ACEC7">
            <w:pPr>
              <w:pStyle w:val="7"/>
              <w:ind w:firstLine="560"/>
              <w:jc w:val="both"/>
              <w:rPr>
                <w:rFonts w:hint="default" w:ascii="仿宋" w:hAnsi="仿宋" w:eastAsia="仿宋" w:cs="仿宋"/>
                <w:sz w:val="28"/>
                <w:lang w:eastAsia="zh-CN"/>
              </w:rPr>
            </w:pPr>
            <w:r>
              <w:rPr>
                <w:rFonts w:ascii="仿宋" w:hAnsi="仿宋" w:eastAsia="仿宋" w:cs="仿宋"/>
                <w:sz w:val="28"/>
                <w:lang w:eastAsia="zh-CN"/>
              </w:rPr>
              <w:t>18.二次评价分配模块</w:t>
            </w:r>
          </w:p>
          <w:p w14:paraId="4683A27B">
            <w:pPr>
              <w:pStyle w:val="7"/>
              <w:ind w:firstLine="560"/>
              <w:jc w:val="both"/>
              <w:rPr>
                <w:rFonts w:hint="default" w:ascii="仿宋" w:hAnsi="仿宋" w:eastAsia="仿宋" w:cs="仿宋"/>
                <w:sz w:val="28"/>
                <w:lang w:eastAsia="zh-CN"/>
              </w:rPr>
            </w:pPr>
            <w:r>
              <w:rPr>
                <w:rFonts w:ascii="仿宋" w:hAnsi="仿宋" w:eastAsia="仿宋" w:cs="仿宋"/>
                <w:sz w:val="28"/>
                <w:lang w:eastAsia="zh-CN"/>
              </w:rPr>
              <w:t>根据各科室的实际需求，综合考虑工作量、工作质量、贡献程度、岗位、风险、职称等因素制定符合本核算单元实际情况的二次分配方案，避免平均分配。各科室可通过软件系统把二次分配方案上传至绩效管理部门、财务部门，审核后发放。科室二次分配方案可以实现由绩效管理部门直接导出备案，实现监督落实。</w:t>
            </w:r>
          </w:p>
          <w:p w14:paraId="3491D73C">
            <w:pPr>
              <w:pStyle w:val="7"/>
              <w:ind w:firstLine="560"/>
              <w:jc w:val="both"/>
              <w:rPr>
                <w:rFonts w:hint="default" w:ascii="仿宋" w:hAnsi="仿宋" w:eastAsia="仿宋" w:cs="仿宋"/>
                <w:sz w:val="28"/>
                <w:lang w:eastAsia="zh-CN"/>
              </w:rPr>
            </w:pPr>
            <w:r>
              <w:rPr>
                <w:rFonts w:ascii="仿宋" w:hAnsi="仿宋" w:eastAsia="仿宋" w:cs="仿宋"/>
                <w:sz w:val="28"/>
                <w:lang w:eastAsia="zh-CN"/>
              </w:rPr>
              <w:t>19.数据统计报表模块</w:t>
            </w:r>
          </w:p>
          <w:p w14:paraId="09A2B13E">
            <w:pPr>
              <w:pStyle w:val="7"/>
              <w:ind w:firstLine="560"/>
              <w:jc w:val="both"/>
              <w:rPr>
                <w:rFonts w:hint="default" w:ascii="仿宋" w:hAnsi="仿宋" w:eastAsia="仿宋" w:cs="仿宋"/>
                <w:sz w:val="28"/>
                <w:lang w:eastAsia="zh-CN"/>
              </w:rPr>
            </w:pPr>
            <w:r>
              <w:rPr>
                <w:rFonts w:ascii="仿宋" w:hAnsi="仿宋" w:eastAsia="仿宋" w:cs="仿宋"/>
                <w:sz w:val="28"/>
                <w:lang w:eastAsia="zh-CN"/>
              </w:rPr>
              <w:t>支持与医院信息集成平台对接，实现与医院HIS、LIS、PACS、</w:t>
            </w:r>
            <w:r>
              <w:rPr>
                <w:rFonts w:ascii="仿宋" w:hAnsi="仿宋" w:eastAsia="仿宋" w:cs="仿宋"/>
                <w:sz w:val="28"/>
                <w:highlight w:val="none"/>
                <w:lang w:eastAsia="zh-CN"/>
              </w:rPr>
              <w:t>EMR</w:t>
            </w:r>
            <w:r>
              <w:rPr>
                <w:rFonts w:ascii="仿宋" w:hAnsi="仿宋" w:eastAsia="仿宋" w:cs="仿宋"/>
                <w:sz w:val="28"/>
                <w:lang w:eastAsia="zh-CN"/>
              </w:rPr>
              <w:t>、HRP等系统互联互通，确保绩效数据来源的准确性。根据绩效管理部门，制定展现全院绩效分配数据统计报表，报表具有自定义查询条件功能，可进行单个或多个条件检索，同时支持数据导出。支持系统自动生成绩效数据分析报告。</w:t>
            </w:r>
          </w:p>
          <w:p w14:paraId="46E36A12">
            <w:pPr>
              <w:pStyle w:val="7"/>
              <w:ind w:firstLine="560"/>
              <w:jc w:val="both"/>
              <w:rPr>
                <w:rFonts w:hint="default" w:ascii="仿宋" w:hAnsi="仿宋" w:eastAsia="仿宋" w:cs="仿宋"/>
                <w:sz w:val="28"/>
                <w:lang w:eastAsia="zh-CN"/>
              </w:rPr>
            </w:pPr>
            <w:r>
              <w:rPr>
                <w:rFonts w:ascii="仿宋" w:hAnsi="仿宋" w:eastAsia="仿宋" w:cs="仿宋"/>
                <w:sz w:val="28"/>
                <w:lang w:eastAsia="zh-CN"/>
              </w:rPr>
              <w:t>20.DRGs/DIP绩效评价模块</w:t>
            </w:r>
          </w:p>
          <w:p w14:paraId="18E231C9">
            <w:pPr>
              <w:pStyle w:val="7"/>
              <w:ind w:firstLine="560"/>
              <w:jc w:val="both"/>
              <w:rPr>
                <w:rFonts w:hint="default" w:ascii="仿宋" w:hAnsi="仿宋" w:eastAsia="仿宋" w:cs="仿宋"/>
                <w:sz w:val="28"/>
                <w:lang w:eastAsia="zh-CN"/>
              </w:rPr>
            </w:pPr>
            <w:r>
              <w:rPr>
                <w:rFonts w:ascii="仿宋" w:hAnsi="仿宋" w:eastAsia="仿宋" w:cs="仿宋"/>
                <w:sz w:val="28"/>
                <w:lang w:eastAsia="zh-CN"/>
              </w:rPr>
              <w:t>（1）根据疾病诊断相关分组付费、大数据病种分值付费，关联医保支付情况，并结合CMI等进行综合考核科室绩效。符合DRG疾病诊断相关分组要求。同时，要将DRG医保付费情况与科室RBRVS绩效奖金核算挂钩。</w:t>
            </w:r>
          </w:p>
          <w:p w14:paraId="57625363">
            <w:pPr>
              <w:pStyle w:val="7"/>
              <w:ind w:firstLine="560"/>
              <w:jc w:val="both"/>
              <w:rPr>
                <w:rFonts w:hint="default" w:ascii="仿宋" w:hAnsi="仿宋" w:eastAsia="仿宋" w:cs="仿宋"/>
                <w:sz w:val="28"/>
                <w:lang w:eastAsia="zh-CN"/>
              </w:rPr>
            </w:pPr>
            <w:r>
              <w:rPr>
                <w:rFonts w:ascii="仿宋" w:hAnsi="仿宋" w:eastAsia="仿宋" w:cs="仿宋"/>
                <w:sz w:val="28"/>
                <w:lang w:eastAsia="zh-CN"/>
              </w:rPr>
              <w:t>（2）DRGs绩效的指标设计</w:t>
            </w:r>
          </w:p>
          <w:p w14:paraId="07A3EEC6">
            <w:pPr>
              <w:pStyle w:val="7"/>
              <w:ind w:firstLine="560"/>
              <w:jc w:val="both"/>
              <w:rPr>
                <w:rFonts w:hint="default" w:ascii="仿宋" w:hAnsi="仿宋" w:eastAsia="仿宋" w:cs="仿宋"/>
                <w:sz w:val="28"/>
                <w:lang w:eastAsia="zh-CN"/>
              </w:rPr>
            </w:pPr>
            <w:r>
              <w:rPr>
                <w:rFonts w:ascii="仿宋" w:hAnsi="仿宋" w:eastAsia="仿宋" w:cs="仿宋"/>
                <w:sz w:val="28"/>
                <w:lang w:eastAsia="zh-CN"/>
              </w:rPr>
              <w:t>支持总权重绩效管理。在DRGs付费制度中，根据医院的医务人员的风险程度、时间和精力的付出等设计绩效总权重，并能根据每个DRGs类别在总费用中所占的比例进行整体反应，在此基础上对绩效中要重点考虑对总权重数（总产出）进行激励。根据医院实际需求，设计其他与DRGs相关的指标，如手术成功率、并发症发生率等，帮助医院更全面地评估医疗服务的质量和效果。</w:t>
            </w:r>
          </w:p>
          <w:p w14:paraId="7EA88ADF">
            <w:pPr>
              <w:pStyle w:val="7"/>
              <w:ind w:firstLine="560"/>
              <w:jc w:val="both"/>
              <w:rPr>
                <w:rFonts w:hint="default" w:ascii="仿宋" w:hAnsi="仿宋" w:eastAsia="仿宋" w:cs="仿宋"/>
                <w:sz w:val="28"/>
                <w:lang w:eastAsia="zh-CN"/>
              </w:rPr>
            </w:pPr>
            <w:r>
              <w:rPr>
                <w:rFonts w:ascii="仿宋" w:hAnsi="仿宋" w:eastAsia="仿宋" w:cs="仿宋"/>
                <w:sz w:val="28"/>
                <w:lang w:eastAsia="zh-CN"/>
              </w:rPr>
              <w:t>（3）CMI值考核。支持CMI（疾病组综合指数）对医院/科室平均每份病例的权重进行考核，反映医院收治病例的总体特征。支持CMI值横向比较，在绩效的设计体现各科室CMI值排名，引导科室积极调整病种结构，积极进修学习大重病治疗技术，提升科室技术水平。</w:t>
            </w:r>
          </w:p>
          <w:p w14:paraId="3C03F10E">
            <w:pPr>
              <w:pStyle w:val="7"/>
              <w:ind w:firstLine="560"/>
              <w:jc w:val="both"/>
              <w:rPr>
                <w:rFonts w:hint="default" w:ascii="仿宋" w:hAnsi="仿宋" w:eastAsia="仿宋" w:cs="仿宋"/>
                <w:sz w:val="28"/>
                <w:lang w:eastAsia="zh-CN"/>
              </w:rPr>
            </w:pPr>
            <w:r>
              <w:rPr>
                <w:rFonts w:ascii="仿宋" w:hAnsi="仿宋" w:eastAsia="仿宋" w:cs="仿宋"/>
                <w:sz w:val="28"/>
                <w:lang w:eastAsia="zh-CN"/>
              </w:rPr>
              <w:t>（4）DRG组数绩效。支持新增DRG疾病组帮助科室开展新项目新技术，能根据新增DRG组数的权重进行绩效的激励。根据医院绩效设计指标体系，能有效统计医院入组病例覆盖的DRGs组数，执行DRGs付费，满足医院的绩效分配制度。</w:t>
            </w:r>
          </w:p>
          <w:p w14:paraId="5E7AF7CB">
            <w:pPr>
              <w:pStyle w:val="7"/>
              <w:ind w:firstLine="560"/>
              <w:jc w:val="both"/>
              <w:rPr>
                <w:rFonts w:hint="default" w:ascii="仿宋" w:hAnsi="仿宋" w:eastAsia="仿宋" w:cs="仿宋"/>
                <w:sz w:val="28"/>
                <w:lang w:eastAsia="zh-CN"/>
              </w:rPr>
            </w:pPr>
            <w:r>
              <w:rPr>
                <w:rFonts w:ascii="仿宋" w:hAnsi="仿宋" w:eastAsia="仿宋" w:cs="仿宋"/>
                <w:sz w:val="28"/>
                <w:lang w:eastAsia="zh-CN"/>
              </w:rPr>
              <w:t>（5）DIP绩效评价。可以查看全院、各科室的病种覆盖情况，已开展的基本组和未开展的基本组情况，内科和外科的覆盖水平及DIP详细指标。能对DIP运行成效进行周期性评价，从医疗费用、医疗资源使用效率、医疗行为改变、医疗质量水平和参保患者满意度等不同维度进行综合评价，并将工作量、工作质量和患者满意度等多个因素纳入考核范围，真实客观反映DIP运行效果。</w:t>
            </w:r>
          </w:p>
          <w:p w14:paraId="57323C3B">
            <w:pPr>
              <w:pStyle w:val="7"/>
              <w:ind w:firstLine="560"/>
              <w:jc w:val="both"/>
              <w:rPr>
                <w:rFonts w:hint="default" w:ascii="仿宋" w:hAnsi="仿宋" w:eastAsia="仿宋" w:cs="仿宋"/>
                <w:sz w:val="28"/>
                <w:lang w:eastAsia="zh-CN"/>
              </w:rPr>
            </w:pPr>
            <w:r>
              <w:rPr>
                <w:rFonts w:ascii="仿宋" w:hAnsi="仿宋" w:eastAsia="仿宋" w:cs="仿宋"/>
                <w:sz w:val="28"/>
                <w:lang w:eastAsia="zh-CN"/>
              </w:rPr>
              <w:t>2</w:t>
            </w:r>
            <w:r>
              <w:rPr>
                <w:rFonts w:hint="default" w:ascii="仿宋" w:hAnsi="仿宋" w:eastAsia="仿宋" w:cs="仿宋"/>
                <w:sz w:val="28"/>
                <w:lang w:eastAsia="zh-CN"/>
              </w:rPr>
              <w:t>1</w:t>
            </w:r>
            <w:r>
              <w:rPr>
                <w:rFonts w:ascii="仿宋" w:hAnsi="仿宋" w:eastAsia="仿宋" w:cs="仿宋"/>
                <w:sz w:val="28"/>
                <w:lang w:eastAsia="zh-CN"/>
              </w:rPr>
              <w:t>、项目成本及病种成本管理</w:t>
            </w:r>
          </w:p>
          <w:p w14:paraId="1641BC89">
            <w:pPr>
              <w:pStyle w:val="7"/>
              <w:ind w:firstLine="560"/>
              <w:jc w:val="both"/>
              <w:rPr>
                <w:rFonts w:hint="default" w:ascii="仿宋" w:hAnsi="仿宋" w:eastAsia="仿宋" w:cs="仿宋"/>
                <w:sz w:val="28"/>
                <w:lang w:eastAsia="zh-CN"/>
              </w:rPr>
            </w:pPr>
            <w:r>
              <w:rPr>
                <w:rFonts w:ascii="仿宋" w:hAnsi="仿宋" w:eastAsia="仿宋" w:cs="仿宋"/>
                <w:sz w:val="28"/>
                <w:lang w:eastAsia="zh-CN"/>
              </w:rPr>
              <w:t>（1）项目成本：用于收集临床服务类科室和医疗技术类科室开展的医疗项目的收入明细数据，可为后续按收入比例分摊成本数据提供分摊参数。结合项目成本数据进行医疗项目收支结余分析；基于作业成本法完成项目成本核算，通过搭建作业资源模型，将各医疗项目划分若干作业步骤并收集各作业步骤对应消耗的资源，以此模型作为作业成本法的核算基础，支持向导式操作模式进行全流程项目成本核算。</w:t>
            </w:r>
          </w:p>
          <w:p w14:paraId="28101BFE">
            <w:pPr>
              <w:pStyle w:val="7"/>
              <w:ind w:firstLine="560"/>
              <w:jc w:val="both"/>
              <w:rPr>
                <w:rFonts w:hint="default" w:ascii="仿宋" w:hAnsi="仿宋" w:eastAsia="仿宋" w:cs="仿宋"/>
                <w:sz w:val="28"/>
                <w:lang w:eastAsia="zh-CN"/>
              </w:rPr>
            </w:pPr>
            <w:r>
              <w:rPr>
                <w:rFonts w:ascii="仿宋" w:hAnsi="仿宋" w:eastAsia="仿宋" w:cs="仿宋"/>
                <w:sz w:val="28"/>
                <w:lang w:eastAsia="zh-CN"/>
              </w:rPr>
              <w:t>基于成本当量法完成项目成本核算，通过搭建各科室医疗项目成本当量模型，选取科室内典型医疗服务项目作为代表项目，设置其成本当量数为“1” ，以此项目作为各成本要素的比较标准，与其他项目各成本要素进行比较，进而得到其他项目各自的成本当 量数，再计算出各项目成本，支持向导式操作模式进行全流程项目成本核算。</w:t>
            </w:r>
          </w:p>
          <w:p w14:paraId="3FDD3007">
            <w:pPr>
              <w:pStyle w:val="7"/>
              <w:ind w:firstLine="560"/>
              <w:jc w:val="both"/>
              <w:rPr>
                <w:rFonts w:hint="default" w:ascii="仿宋" w:hAnsi="仿宋" w:eastAsia="仿宋" w:cs="仿宋"/>
                <w:sz w:val="28"/>
                <w:lang w:eastAsia="zh-CN"/>
              </w:rPr>
            </w:pPr>
            <w:r>
              <w:rPr>
                <w:rFonts w:ascii="仿宋" w:hAnsi="仿宋" w:eastAsia="仿宋" w:cs="仿宋"/>
                <w:sz w:val="28"/>
                <w:lang w:eastAsia="zh-CN"/>
              </w:rPr>
              <w:t>基于成本比例系数法完成项目成本核算，核算过程中将能够直接计入医疗服务项目的成本直接归集计入，不可直接计入医疗服务项目的成本按照收入比例/操作时间/工作量分摊到医疗服务项目，支持向导式核算模式完成全流程项目成本核算。</w:t>
            </w:r>
          </w:p>
          <w:p w14:paraId="4303C927">
            <w:pPr>
              <w:pStyle w:val="7"/>
              <w:ind w:firstLine="560"/>
              <w:jc w:val="both"/>
              <w:rPr>
                <w:rFonts w:hint="default" w:ascii="仿宋" w:hAnsi="仿宋" w:eastAsia="仿宋" w:cs="仿宋"/>
                <w:sz w:val="28"/>
                <w:lang w:eastAsia="zh-CN"/>
              </w:rPr>
            </w:pPr>
            <w:r>
              <w:rPr>
                <w:rFonts w:ascii="仿宋" w:hAnsi="仿宋" w:eastAsia="仿宋" w:cs="仿宋"/>
                <w:sz w:val="28"/>
                <w:lang w:eastAsia="zh-CN"/>
              </w:rPr>
              <w:t>实现多维度项目成本分析，包括项目成本收益分析、项目成本构成分析、项目成本对比分析、项目成本比较分析等。</w:t>
            </w:r>
          </w:p>
          <w:p w14:paraId="35563AB3">
            <w:pPr>
              <w:pStyle w:val="7"/>
              <w:ind w:firstLine="560"/>
              <w:jc w:val="both"/>
              <w:rPr>
                <w:rFonts w:hint="default" w:ascii="仿宋" w:hAnsi="仿宋" w:eastAsia="仿宋" w:cs="仿宋"/>
                <w:sz w:val="28"/>
                <w:lang w:eastAsia="zh-CN"/>
              </w:rPr>
            </w:pPr>
            <w:r>
              <w:rPr>
                <w:rFonts w:ascii="仿宋" w:hAnsi="仿宋" w:eastAsia="仿宋" w:cs="仿宋"/>
                <w:sz w:val="28"/>
                <w:lang w:eastAsia="zh-CN"/>
              </w:rPr>
              <w:t>用于维护项目成本核算所需的基础数据，包括核算科室、医疗项目、成本项目类别、成本项目、作业、分摊规则等。</w:t>
            </w:r>
          </w:p>
          <w:p w14:paraId="7D0439B8">
            <w:pPr>
              <w:pStyle w:val="7"/>
              <w:ind w:firstLine="560"/>
              <w:jc w:val="both"/>
              <w:rPr>
                <w:rFonts w:hint="default" w:ascii="仿宋" w:hAnsi="仿宋" w:eastAsia="仿宋" w:cs="仿宋"/>
                <w:sz w:val="28"/>
                <w:lang w:eastAsia="zh-CN"/>
              </w:rPr>
            </w:pPr>
            <w:r>
              <w:rPr>
                <w:rFonts w:ascii="仿宋" w:hAnsi="仿宋" w:eastAsia="仿宋" w:cs="仿宋"/>
                <w:sz w:val="28"/>
                <w:lang w:eastAsia="zh-CN"/>
              </w:rPr>
              <w:t>（2）单病种成本</w:t>
            </w:r>
          </w:p>
          <w:p w14:paraId="03E15E7A">
            <w:pPr>
              <w:pStyle w:val="7"/>
              <w:ind w:firstLine="560"/>
              <w:jc w:val="both"/>
              <w:rPr>
                <w:rFonts w:hint="default" w:ascii="仿宋" w:hAnsi="仿宋" w:eastAsia="仿宋" w:cs="仿宋"/>
                <w:sz w:val="28"/>
                <w:lang w:eastAsia="zh-CN"/>
              </w:rPr>
            </w:pPr>
            <w:r>
              <w:rPr>
                <w:rFonts w:ascii="仿宋" w:hAnsi="仿宋" w:eastAsia="仿宋" w:cs="仿宋"/>
                <w:sz w:val="28"/>
                <w:lang w:eastAsia="zh-CN"/>
              </w:rPr>
              <w:t>用于采集住院病人住院期间的病案数据，包括：病案号、主诊断编码、主操作编码、年龄。住院次数、收费合计、入院科室和住院科室等数据。</w:t>
            </w:r>
          </w:p>
          <w:p w14:paraId="63ADB170">
            <w:pPr>
              <w:pStyle w:val="7"/>
              <w:ind w:firstLine="560"/>
              <w:jc w:val="both"/>
              <w:rPr>
                <w:rFonts w:hint="default" w:ascii="仿宋" w:hAnsi="仿宋" w:eastAsia="仿宋" w:cs="仿宋"/>
                <w:sz w:val="28"/>
                <w:lang w:eastAsia="zh-CN"/>
              </w:rPr>
            </w:pPr>
            <w:r>
              <w:rPr>
                <w:rFonts w:ascii="仿宋" w:hAnsi="仿宋" w:eastAsia="仿宋" w:cs="仿宋"/>
                <w:sz w:val="28"/>
                <w:lang w:eastAsia="zh-CN"/>
              </w:rPr>
              <w:t>用于采集住院病人住院期间的收费项目明细数据，包括：病案号、住院次数、开单科室、执行科室、收费类别、收费项目和收费金额等数据。</w:t>
            </w:r>
          </w:p>
          <w:p w14:paraId="06218D16">
            <w:pPr>
              <w:pStyle w:val="7"/>
              <w:ind w:firstLine="560"/>
              <w:jc w:val="both"/>
              <w:rPr>
                <w:rFonts w:hint="default" w:ascii="仿宋" w:hAnsi="仿宋" w:eastAsia="仿宋" w:cs="仿宋"/>
                <w:sz w:val="28"/>
                <w:lang w:eastAsia="zh-CN"/>
              </w:rPr>
            </w:pPr>
            <w:r>
              <w:rPr>
                <w:rFonts w:ascii="仿宋" w:hAnsi="仿宋" w:eastAsia="仿宋" w:cs="仿宋"/>
                <w:sz w:val="28"/>
                <w:lang w:eastAsia="zh-CN"/>
              </w:rPr>
              <w:t>在完成医疗服务项目成本核算的基础上，以医疗服务项目成本为基础计算病种成本。根据出院患者实际发生的医疗服务项 目成本、药品成本和可单独收费的卫生材料成本进行加总， 得出患者的病种成本。系统提供病种成本核算向导完成全流程病种成本核算。</w:t>
            </w:r>
          </w:p>
          <w:tbl>
            <w:tblPr>
              <w:tblStyle w:val="4"/>
              <w:tblpPr w:leftFromText="180" w:rightFromText="180" w:vertAnchor="text" w:horzAnchor="page" w:tblpX="754" w:tblpY="152"/>
              <w:tblOverlap w:val="never"/>
              <w:tblW w:w="10770" w:type="dxa"/>
              <w:tblInd w:w="0" w:type="dxa"/>
              <w:tblLayout w:type="fixed"/>
              <w:tblCellMar>
                <w:top w:w="0" w:type="dxa"/>
                <w:left w:w="108" w:type="dxa"/>
                <w:bottom w:w="0" w:type="dxa"/>
                <w:right w:w="108" w:type="dxa"/>
              </w:tblCellMar>
            </w:tblPr>
            <w:tblGrid>
              <w:gridCol w:w="10770"/>
            </w:tblGrid>
            <w:tr w14:paraId="20DDA358">
              <w:tblPrEx>
                <w:tblCellMar>
                  <w:top w:w="0" w:type="dxa"/>
                  <w:left w:w="108" w:type="dxa"/>
                  <w:bottom w:w="0" w:type="dxa"/>
                  <w:right w:w="108" w:type="dxa"/>
                </w:tblCellMar>
              </w:tblPrEx>
              <w:trPr>
                <w:trHeight w:val="1500" w:hRule="atLeast"/>
              </w:trPr>
              <w:tc>
                <w:tcPr>
                  <w:tcW w:w="7907" w:type="dxa"/>
                  <w:tcBorders>
                    <w:top w:val="nil"/>
                    <w:left w:val="nil"/>
                    <w:bottom w:val="single" w:color="auto" w:sz="4" w:space="0"/>
                    <w:right w:val="single" w:color="auto" w:sz="4" w:space="0"/>
                  </w:tcBorders>
                  <w:vAlign w:val="center"/>
                </w:tcPr>
                <w:p w14:paraId="5E1CF632">
                  <w:pPr>
                    <w:widowControl/>
                    <w:spacing w:before="120" w:after="120"/>
                    <w:ind w:firstLine="440"/>
                    <w:jc w:val="left"/>
                    <w:rPr>
                      <w:rFonts w:ascii="仿宋" w:hAnsi="仿宋" w:eastAsia="仿宋" w:cs="仿宋"/>
                      <w:kern w:val="0"/>
                      <w:sz w:val="28"/>
                      <w:szCs w:val="20"/>
                    </w:rPr>
                  </w:pPr>
                  <w:r>
                    <w:rPr>
                      <w:rFonts w:hint="eastAsia" w:ascii="仿宋" w:hAnsi="仿宋" w:eastAsia="仿宋" w:cs="仿宋"/>
                      <w:kern w:val="0"/>
                      <w:sz w:val="28"/>
                      <w:szCs w:val="20"/>
                    </w:rPr>
                    <w:t>以三级分摊后的临床住院科室成本作为计算基础，统计临床住院科室每名患者的药品和单独收费的卫生材料费用，形成每名患者的药耗成本。 将临床住院科室成本剔除所有计入患者的药品和单独收费的卫生材料成本后，采用住院天数、诊疗时间等作为分配参数分摊到每名患者，将同病种患者归为一组，然后计算组内病种总成本和单位成本。系统提供病种成本核算向导完成全流程病种成本核算。</w:t>
                  </w:r>
                </w:p>
                <w:p w14:paraId="43236E19">
                  <w:pPr>
                    <w:widowControl/>
                    <w:spacing w:before="120" w:after="120"/>
                    <w:ind w:firstLine="440"/>
                    <w:jc w:val="left"/>
                    <w:rPr>
                      <w:rFonts w:ascii="仿宋" w:hAnsi="仿宋" w:eastAsia="仿宋" w:cs="仿宋"/>
                      <w:kern w:val="0"/>
                      <w:sz w:val="28"/>
                      <w:szCs w:val="20"/>
                    </w:rPr>
                  </w:pPr>
                  <w:r>
                    <w:rPr>
                      <w:rFonts w:hint="eastAsia" w:ascii="仿宋" w:hAnsi="仿宋" w:eastAsia="仿宋" w:cs="仿宋"/>
                      <w:kern w:val="0"/>
                      <w:sz w:val="28"/>
                      <w:szCs w:val="20"/>
                    </w:rPr>
                    <w:t>基于服务单元叠加法完成项目成本核算，以医院为患者提供的医疗服务内容划分服务单元，明确各服务单元成本收入比值后，利用病案首页数据可一次性计算出单病种成本，实施周期相对较短。系统提供病种成本核算向导完成全流程病种成本核算。</w:t>
                  </w:r>
                </w:p>
              </w:tc>
            </w:tr>
          </w:tbl>
          <w:p w14:paraId="662B70D1">
            <w:pPr>
              <w:pStyle w:val="7"/>
              <w:ind w:firstLine="560"/>
              <w:jc w:val="both"/>
              <w:rPr>
                <w:rFonts w:hint="default" w:ascii="仿宋" w:hAnsi="仿宋" w:eastAsia="仿宋" w:cs="仿宋"/>
                <w:sz w:val="28"/>
                <w:lang w:eastAsia="zh-CN"/>
              </w:rPr>
            </w:pPr>
            <w:r>
              <w:rPr>
                <w:rFonts w:ascii="仿宋" w:hAnsi="仿宋" w:eastAsia="仿宋" w:cs="仿宋"/>
                <w:sz w:val="28"/>
                <w:lang w:eastAsia="zh-CN"/>
              </w:rPr>
              <w:t>（3）D</w:t>
            </w:r>
            <w:r>
              <w:rPr>
                <w:rFonts w:hint="default" w:ascii="仿宋" w:hAnsi="仿宋" w:eastAsia="仿宋" w:cs="仿宋"/>
                <w:sz w:val="28"/>
                <w:lang w:eastAsia="zh-CN"/>
              </w:rPr>
              <w:t>RG</w:t>
            </w:r>
            <w:r>
              <w:rPr>
                <w:rFonts w:ascii="仿宋" w:hAnsi="仿宋" w:eastAsia="仿宋" w:cs="仿宋"/>
                <w:sz w:val="28"/>
                <w:lang w:eastAsia="zh-CN"/>
              </w:rPr>
              <w:t>病种成本</w:t>
            </w:r>
          </w:p>
          <w:p w14:paraId="4331062C">
            <w:pPr>
              <w:pStyle w:val="7"/>
              <w:ind w:firstLine="560"/>
              <w:jc w:val="both"/>
              <w:rPr>
                <w:rFonts w:hint="default" w:ascii="仿宋" w:hAnsi="仿宋" w:eastAsia="仿宋" w:cs="仿宋"/>
                <w:sz w:val="28"/>
                <w:lang w:eastAsia="zh-CN"/>
              </w:rPr>
            </w:pPr>
            <w:r>
              <w:rPr>
                <w:rFonts w:ascii="仿宋" w:hAnsi="仿宋" w:eastAsia="仿宋" w:cs="仿宋"/>
                <w:sz w:val="28"/>
                <w:lang w:eastAsia="zh-CN"/>
              </w:rPr>
              <w:t>用于采集住院病人住院期间的病案数据，包括：病案号、主诊断编码、主操作编码、年龄。住院次数、收费合计、入院科室和住院科室等数据。</w:t>
            </w:r>
          </w:p>
          <w:p w14:paraId="494E607D">
            <w:pPr>
              <w:pStyle w:val="7"/>
              <w:ind w:firstLine="560"/>
              <w:rPr>
                <w:rFonts w:hint="default" w:ascii="仿宋" w:hAnsi="仿宋" w:eastAsia="仿宋" w:cs="仿宋"/>
                <w:sz w:val="28"/>
                <w:lang w:eastAsia="zh-CN"/>
              </w:rPr>
            </w:pPr>
            <w:r>
              <w:rPr>
                <w:rFonts w:ascii="仿宋" w:hAnsi="仿宋" w:eastAsia="仿宋" w:cs="仿宋"/>
                <w:sz w:val="28"/>
                <w:lang w:eastAsia="zh-CN"/>
              </w:rPr>
              <w:t>用于采集住院病人住院期间的收费项目明细数据，包括：病案号、住院次数、开单科室、执行科室、收费类别、收费项目和收费金额等数据。</w:t>
            </w:r>
          </w:p>
          <w:p w14:paraId="30BFF3B3">
            <w:pPr>
              <w:pStyle w:val="7"/>
              <w:ind w:firstLine="560"/>
              <w:jc w:val="both"/>
              <w:rPr>
                <w:rFonts w:hint="default" w:ascii="仿宋" w:hAnsi="仿宋" w:eastAsia="仿宋" w:cs="仿宋"/>
                <w:sz w:val="28"/>
                <w:lang w:eastAsia="zh-CN"/>
              </w:rPr>
            </w:pPr>
            <w:r>
              <w:rPr>
                <w:rFonts w:ascii="仿宋" w:hAnsi="仿宋" w:eastAsia="仿宋" w:cs="仿宋"/>
                <w:sz w:val="28"/>
                <w:lang w:eastAsia="zh-CN"/>
              </w:rPr>
              <w:t>在完成医疗服务项目成本核算的基础上，以医疗服务项目成本为基础计算病种成本。根据出院患者实际发生的医疗服务项 目成本、药品成本和可单独收费的卫生材料成本进行加总， 得出患者的病种成本。系统需提供病种成本核算向导完成全流程病种成本核算。</w:t>
            </w:r>
          </w:p>
          <w:p w14:paraId="3094D50F">
            <w:pPr>
              <w:pStyle w:val="7"/>
              <w:ind w:firstLine="560"/>
              <w:jc w:val="both"/>
              <w:rPr>
                <w:rFonts w:hint="default" w:ascii="仿宋" w:hAnsi="仿宋" w:eastAsia="仿宋" w:cs="仿宋"/>
                <w:sz w:val="28"/>
                <w:lang w:eastAsia="zh-CN"/>
              </w:rPr>
            </w:pPr>
            <w:r>
              <w:rPr>
                <w:rFonts w:ascii="仿宋" w:hAnsi="仿宋" w:eastAsia="仿宋" w:cs="仿宋"/>
                <w:sz w:val="28"/>
                <w:lang w:eastAsia="zh-CN"/>
              </w:rPr>
              <w:t>以三级分摊后的临床住院科室成本作为计算基础，统计临床住院科室每名患者的药品和单独收费的卫生材料费用，形成每名患者的药耗成本。 将临床住院科室成本剔除所有计入患者的药品和单独收费的卫生材料成本后，采用住院天数、诊疗时间等作为分配参数分摊到每名患者，将同病种患者归为一组，然后计算组内病种总成本和单位成本。系统提供病种成本核算向导完成全流程病种成本核算。</w:t>
            </w:r>
          </w:p>
          <w:p w14:paraId="05F39AB7">
            <w:pPr>
              <w:pStyle w:val="7"/>
              <w:ind w:firstLine="560"/>
              <w:jc w:val="both"/>
              <w:rPr>
                <w:rFonts w:hint="default" w:ascii="仿宋" w:hAnsi="仿宋" w:eastAsia="仿宋" w:cs="仿宋"/>
                <w:sz w:val="28"/>
                <w:lang w:eastAsia="zh-CN"/>
              </w:rPr>
            </w:pPr>
            <w:r>
              <w:rPr>
                <w:rFonts w:ascii="仿宋" w:hAnsi="仿宋" w:eastAsia="仿宋" w:cs="仿宋"/>
                <w:sz w:val="28"/>
                <w:lang w:eastAsia="zh-CN"/>
              </w:rPr>
              <w:t>基于服务单元叠加法完成项目成本核算，以医院为患者提供的医疗服务内容划分服务单元，明确各服务单元成本收入比值后，利用病案首页数据可一次性计算出DRG病种组成本，实施周期相对较短。系统提供病种成本核算向导完成全流程病种成本核算。</w:t>
            </w:r>
          </w:p>
          <w:tbl>
            <w:tblPr>
              <w:tblStyle w:val="4"/>
              <w:tblpPr w:leftFromText="180" w:rightFromText="180" w:vertAnchor="text" w:horzAnchor="page" w:tblpX="754" w:tblpY="152"/>
              <w:tblOverlap w:val="never"/>
              <w:tblW w:w="10770" w:type="dxa"/>
              <w:tblInd w:w="0" w:type="dxa"/>
              <w:tblLayout w:type="fixed"/>
              <w:tblCellMar>
                <w:top w:w="0" w:type="dxa"/>
                <w:left w:w="108" w:type="dxa"/>
                <w:bottom w:w="0" w:type="dxa"/>
                <w:right w:w="108" w:type="dxa"/>
              </w:tblCellMar>
            </w:tblPr>
            <w:tblGrid>
              <w:gridCol w:w="10770"/>
            </w:tblGrid>
            <w:tr w14:paraId="717D5BE2">
              <w:tblPrEx>
                <w:tblCellMar>
                  <w:top w:w="0" w:type="dxa"/>
                  <w:left w:w="108" w:type="dxa"/>
                  <w:bottom w:w="0" w:type="dxa"/>
                  <w:right w:w="108" w:type="dxa"/>
                </w:tblCellMar>
              </w:tblPrEx>
              <w:trPr>
                <w:trHeight w:val="600" w:hRule="atLeast"/>
              </w:trPr>
              <w:tc>
                <w:tcPr>
                  <w:tcW w:w="10770" w:type="dxa"/>
                  <w:tcBorders>
                    <w:top w:val="nil"/>
                    <w:left w:val="nil"/>
                    <w:bottom w:val="single" w:color="auto" w:sz="4" w:space="0"/>
                    <w:right w:val="single" w:color="auto" w:sz="4" w:space="0"/>
                  </w:tcBorders>
                  <w:vAlign w:val="center"/>
                </w:tcPr>
                <w:p w14:paraId="3C135867">
                  <w:pPr>
                    <w:widowControl/>
                    <w:spacing w:before="120" w:after="120"/>
                    <w:ind w:firstLine="440"/>
                    <w:jc w:val="left"/>
                    <w:rPr>
                      <w:rFonts w:ascii="仿宋" w:hAnsi="仿宋" w:eastAsia="仿宋" w:cs="仿宋"/>
                      <w:kern w:val="0"/>
                      <w:sz w:val="28"/>
                      <w:szCs w:val="20"/>
                    </w:rPr>
                  </w:pPr>
                  <w:r>
                    <w:rPr>
                      <w:rFonts w:hint="eastAsia" w:ascii="仿宋" w:hAnsi="仿宋" w:eastAsia="仿宋" w:cs="仿宋"/>
                      <w:kern w:val="0"/>
                      <w:sz w:val="28"/>
                      <w:szCs w:val="20"/>
                    </w:rPr>
                    <w:t>满足成本核算发文规范报表格式。提供多维度病种成本报表查询功能，包括病种成本汇总表、病种成本明细表、医院病种成本构成明细表和医院服务单元病种成本构成明细。</w:t>
                  </w:r>
                </w:p>
                <w:p w14:paraId="5B3D8E6B">
                  <w:pPr>
                    <w:widowControl/>
                    <w:spacing w:before="120" w:after="120"/>
                    <w:ind w:firstLine="440"/>
                    <w:jc w:val="left"/>
                    <w:rPr>
                      <w:rFonts w:ascii="仿宋" w:hAnsi="仿宋" w:eastAsia="仿宋" w:cs="仿宋"/>
                      <w:kern w:val="0"/>
                      <w:sz w:val="28"/>
                      <w:szCs w:val="20"/>
                    </w:rPr>
                  </w:pPr>
                  <w:r>
                    <w:rPr>
                      <w:rFonts w:hint="eastAsia" w:ascii="仿宋" w:hAnsi="仿宋" w:eastAsia="仿宋" w:cs="仿宋"/>
                      <w:kern w:val="0"/>
                      <w:sz w:val="28"/>
                      <w:szCs w:val="20"/>
                    </w:rPr>
                    <w:t>可维护病种成本系统运行所需的基础资料，包括病种、主诊断、主操作、收费项目、服务单元、费用类别和服务单元对照关系设置。</w:t>
                  </w:r>
                </w:p>
              </w:tc>
            </w:tr>
          </w:tbl>
          <w:p w14:paraId="4331D7A2">
            <w:pPr>
              <w:pStyle w:val="7"/>
              <w:ind w:firstLine="560"/>
              <w:jc w:val="both"/>
              <w:rPr>
                <w:rFonts w:hint="default" w:ascii="仿宋" w:hAnsi="仿宋" w:eastAsia="仿宋" w:cs="仿宋"/>
                <w:sz w:val="28"/>
                <w:lang w:eastAsia="zh-CN"/>
              </w:rPr>
            </w:pPr>
            <w:r>
              <w:rPr>
                <w:rFonts w:ascii="仿宋" w:hAnsi="仿宋" w:eastAsia="仿宋" w:cs="仿宋"/>
                <w:sz w:val="28"/>
                <w:lang w:eastAsia="zh-CN"/>
              </w:rPr>
              <w:t>2</w:t>
            </w:r>
            <w:r>
              <w:rPr>
                <w:rFonts w:hint="default" w:ascii="仿宋" w:hAnsi="仿宋" w:eastAsia="仿宋" w:cs="仿宋"/>
                <w:sz w:val="28"/>
                <w:lang w:eastAsia="zh-CN"/>
              </w:rPr>
              <w:t>2</w:t>
            </w:r>
            <w:r>
              <w:rPr>
                <w:rFonts w:ascii="仿宋" w:hAnsi="仿宋" w:eastAsia="仿宋" w:cs="仿宋"/>
                <w:sz w:val="28"/>
                <w:lang w:eastAsia="zh-CN"/>
              </w:rPr>
              <w:t>.系统管理模块</w:t>
            </w:r>
          </w:p>
          <w:p w14:paraId="519920D0">
            <w:pPr>
              <w:pStyle w:val="7"/>
              <w:ind w:firstLine="560"/>
              <w:jc w:val="both"/>
              <w:rPr>
                <w:rFonts w:hint="default" w:ascii="仿宋" w:hAnsi="仿宋" w:eastAsia="仿宋" w:cs="仿宋"/>
                <w:sz w:val="28"/>
                <w:lang w:eastAsia="zh-CN"/>
              </w:rPr>
            </w:pPr>
            <w:r>
              <w:rPr>
                <w:rFonts w:ascii="仿宋" w:hAnsi="仿宋" w:eastAsia="仿宋" w:cs="仿宋"/>
                <w:sz w:val="28"/>
                <w:lang w:eastAsia="zh-CN"/>
              </w:rPr>
              <w:t>包括用户组、用户、角色、权限、绩效核算方案、功能菜单等的个性化设置等管理，支持多院区集团化多组织间绩效核算管理。</w:t>
            </w:r>
          </w:p>
          <w:p w14:paraId="03679B20">
            <w:pPr>
              <w:pStyle w:val="7"/>
              <w:ind w:firstLine="560"/>
              <w:jc w:val="both"/>
              <w:rPr>
                <w:rFonts w:hint="default" w:ascii="仿宋" w:hAnsi="仿宋" w:eastAsia="仿宋" w:cs="仿宋"/>
                <w:sz w:val="28"/>
                <w:lang w:eastAsia="zh-CN"/>
              </w:rPr>
            </w:pPr>
            <w:r>
              <w:rPr>
                <w:rFonts w:ascii="仿宋" w:hAnsi="仿宋" w:eastAsia="仿宋" w:cs="仿宋"/>
                <w:sz w:val="28"/>
                <w:lang w:eastAsia="zh-CN"/>
              </w:rPr>
              <w:t>22.手机端应用模块</w:t>
            </w:r>
          </w:p>
          <w:p w14:paraId="1AEDD62F">
            <w:pPr>
              <w:pStyle w:val="7"/>
              <w:ind w:firstLine="560" w:firstLineChars="200"/>
              <w:rPr>
                <w:rFonts w:hint="default" w:ascii="仿宋" w:hAnsi="仿宋" w:eastAsia="仿宋" w:cs="仿宋"/>
                <w:sz w:val="28"/>
                <w:lang w:eastAsia="zh-CN"/>
              </w:rPr>
            </w:pPr>
            <w:r>
              <w:rPr>
                <w:rFonts w:ascii="仿宋" w:hAnsi="仿宋" w:eastAsia="仿宋" w:cs="仿宋"/>
                <w:sz w:val="28"/>
                <w:lang w:eastAsia="zh-CN"/>
              </w:rPr>
              <w:t>支持手机端主动提醒功能，满足四川省智慧医院评价标准要求，系统支持短信、微信或钉钉等移动办公途径集成，支持考核结果通过在线查询、申诉和反馈。</w:t>
            </w:r>
          </w:p>
          <w:p w14:paraId="32C9134F">
            <w:pPr>
              <w:pStyle w:val="7"/>
              <w:ind w:firstLine="563"/>
              <w:rPr>
                <w:rFonts w:hint="default" w:ascii="仿宋" w:hAnsi="仿宋" w:eastAsia="仿宋" w:cs="仿宋"/>
                <w:sz w:val="28"/>
                <w:lang w:eastAsia="zh-CN"/>
              </w:rPr>
            </w:pPr>
            <w:r>
              <w:rPr>
                <w:rFonts w:ascii="仿宋" w:hAnsi="仿宋" w:eastAsia="仿宋" w:cs="仿宋"/>
                <w:sz w:val="28"/>
                <w:lang w:eastAsia="zh-CN"/>
              </w:rPr>
              <w:t>审批功能：支持绩效方案审批、二次分配方案审批</w:t>
            </w:r>
          </w:p>
        </w:tc>
      </w:tr>
    </w:tbl>
    <w:p w14:paraId="558FA037"/>
    <w:p w14:paraId="613A20B6"/>
    <w:p w14:paraId="46633565">
      <w:pPr>
        <w:pStyle w:val="7"/>
        <w:outlineLvl w:val="0"/>
        <w:rPr>
          <w:b/>
          <w:sz w:val="32"/>
          <w:szCs w:val="32"/>
        </w:rPr>
      </w:pPr>
      <w:bookmarkStart w:id="3" w:name="_Toc216992109"/>
    </w:p>
    <w:p w14:paraId="7B2C13C2">
      <w:pPr>
        <w:pStyle w:val="7"/>
        <w:outlineLvl w:val="0"/>
        <w:rPr>
          <w:rFonts w:hint="default"/>
          <w:b/>
          <w:sz w:val="32"/>
          <w:szCs w:val="32"/>
        </w:rPr>
      </w:pPr>
      <w:r>
        <w:rPr>
          <w:b/>
          <w:sz w:val="32"/>
          <w:szCs w:val="32"/>
        </w:rPr>
        <w:t>四、项目内容：</w:t>
      </w:r>
      <w:bookmarkEnd w:id="3"/>
    </w:p>
    <w:tbl>
      <w:tblPr>
        <w:tblStyle w:val="4"/>
        <w:tblW w:w="10040" w:type="dxa"/>
        <w:tblInd w:w="0" w:type="dxa"/>
        <w:tblLayout w:type="autofit"/>
        <w:tblCellMar>
          <w:top w:w="0" w:type="dxa"/>
          <w:left w:w="108" w:type="dxa"/>
          <w:bottom w:w="0" w:type="dxa"/>
          <w:right w:w="108" w:type="dxa"/>
        </w:tblCellMar>
      </w:tblPr>
      <w:tblGrid>
        <w:gridCol w:w="1260"/>
        <w:gridCol w:w="1980"/>
        <w:gridCol w:w="6800"/>
      </w:tblGrid>
      <w:tr w14:paraId="2FFE6192">
        <w:tblPrEx>
          <w:tblCellMar>
            <w:top w:w="0" w:type="dxa"/>
            <w:left w:w="108" w:type="dxa"/>
            <w:bottom w:w="0" w:type="dxa"/>
            <w:right w:w="108" w:type="dxa"/>
          </w:tblCellMar>
        </w:tblPrEx>
        <w:trPr>
          <w:trHeight w:val="593" w:hRule="atLeast"/>
        </w:trPr>
        <w:tc>
          <w:tcPr>
            <w:tcW w:w="1260" w:type="dxa"/>
            <w:tcBorders>
              <w:top w:val="single" w:color="auto" w:sz="4" w:space="0"/>
              <w:left w:val="single" w:color="auto" w:sz="4" w:space="0"/>
              <w:bottom w:val="single" w:color="auto" w:sz="4" w:space="0"/>
              <w:right w:val="single" w:color="auto" w:sz="4" w:space="0"/>
            </w:tcBorders>
            <w:shd w:val="clear" w:color="000000" w:fill="A6A6A6"/>
            <w:vAlign w:val="center"/>
          </w:tcPr>
          <w:p w14:paraId="37757F72">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系统名称</w:t>
            </w:r>
          </w:p>
        </w:tc>
        <w:tc>
          <w:tcPr>
            <w:tcW w:w="1980" w:type="dxa"/>
            <w:tcBorders>
              <w:top w:val="single" w:color="auto" w:sz="4" w:space="0"/>
              <w:left w:val="nil"/>
              <w:bottom w:val="single" w:color="auto" w:sz="4" w:space="0"/>
              <w:right w:val="single" w:color="auto" w:sz="4" w:space="0"/>
            </w:tcBorders>
            <w:shd w:val="clear" w:color="000000" w:fill="A6A6A6"/>
            <w:vAlign w:val="center"/>
          </w:tcPr>
          <w:p w14:paraId="5E7FFFEC">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子系统</w:t>
            </w:r>
          </w:p>
        </w:tc>
        <w:tc>
          <w:tcPr>
            <w:tcW w:w="6800" w:type="dxa"/>
            <w:tcBorders>
              <w:top w:val="single" w:color="auto" w:sz="4" w:space="0"/>
              <w:left w:val="nil"/>
              <w:bottom w:val="single" w:color="auto" w:sz="4" w:space="0"/>
              <w:right w:val="single" w:color="auto" w:sz="4" w:space="0"/>
            </w:tcBorders>
            <w:shd w:val="clear" w:color="000000" w:fill="A6A6A6"/>
            <w:vAlign w:val="center"/>
          </w:tcPr>
          <w:p w14:paraId="260E596A">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功能点名称</w:t>
            </w:r>
          </w:p>
        </w:tc>
      </w:tr>
      <w:tr w14:paraId="7295BA01">
        <w:tblPrEx>
          <w:tblCellMar>
            <w:top w:w="0" w:type="dxa"/>
            <w:left w:w="108" w:type="dxa"/>
            <w:bottom w:w="0" w:type="dxa"/>
            <w:right w:w="108" w:type="dxa"/>
          </w:tblCellMar>
        </w:tblPrEx>
        <w:trPr>
          <w:trHeight w:val="624" w:hRule="atLeast"/>
        </w:trPr>
        <w:tc>
          <w:tcPr>
            <w:tcW w:w="1260" w:type="dxa"/>
            <w:vMerge w:val="restart"/>
            <w:tcBorders>
              <w:top w:val="nil"/>
              <w:left w:val="single" w:color="auto" w:sz="4" w:space="0"/>
              <w:bottom w:val="single" w:color="auto" w:sz="4" w:space="0"/>
              <w:right w:val="single" w:color="auto" w:sz="4" w:space="0"/>
            </w:tcBorders>
            <w:shd w:val="clear" w:color="000000" w:fill="FFFFFF"/>
            <w:vAlign w:val="center"/>
          </w:tcPr>
          <w:p w14:paraId="5FEF02C6">
            <w:pPr>
              <w:widowControl/>
              <w:jc w:val="center"/>
              <w:rPr>
                <w:rFonts w:hint="eastAsia" w:ascii="微软雅黑" w:hAnsi="微软雅黑" w:eastAsia="微软雅黑" w:cs="宋体"/>
                <w:b/>
                <w:bCs/>
                <w:color w:val="4874CB"/>
                <w:kern w:val="0"/>
                <w:sz w:val="22"/>
                <w:szCs w:val="22"/>
              </w:rPr>
            </w:pPr>
            <w:r>
              <w:rPr>
                <w:rFonts w:hint="eastAsia"/>
                <w:color w:val="auto"/>
              </w:rPr>
              <w:t>医院绩效管理咨询及配套软件</w:t>
            </w:r>
          </w:p>
        </w:tc>
        <w:tc>
          <w:tcPr>
            <w:tcW w:w="1980" w:type="dxa"/>
            <w:vMerge w:val="restart"/>
            <w:tcBorders>
              <w:top w:val="nil"/>
              <w:left w:val="single" w:color="auto" w:sz="4" w:space="0"/>
              <w:bottom w:val="single" w:color="auto" w:sz="4" w:space="0"/>
              <w:right w:val="single" w:color="auto" w:sz="4" w:space="0"/>
            </w:tcBorders>
            <w:shd w:val="clear" w:color="auto" w:fill="auto"/>
            <w:vAlign w:val="center"/>
          </w:tcPr>
          <w:p w14:paraId="01CD4FE6">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数据集成管理</w:t>
            </w:r>
          </w:p>
        </w:tc>
        <w:tc>
          <w:tcPr>
            <w:tcW w:w="6800" w:type="dxa"/>
            <w:vMerge w:val="restart"/>
            <w:tcBorders>
              <w:top w:val="nil"/>
              <w:left w:val="single" w:color="auto" w:sz="4" w:space="0"/>
              <w:bottom w:val="single" w:color="auto" w:sz="4" w:space="0"/>
              <w:right w:val="single" w:color="auto" w:sz="4" w:space="0"/>
            </w:tcBorders>
            <w:shd w:val="clear" w:color="auto" w:fill="auto"/>
            <w:vAlign w:val="center"/>
          </w:tcPr>
          <w:p w14:paraId="4C9411C6">
            <w:pPr>
              <w:widowControl/>
              <w:jc w:val="left"/>
              <w:rPr>
                <w:rFonts w:hint="eastAsia" w:ascii="新宋体" w:hAnsi="新宋体" w:eastAsia="新宋体" w:cs="宋体"/>
                <w:color w:val="auto"/>
                <w:kern w:val="0"/>
                <w:sz w:val="16"/>
                <w:szCs w:val="16"/>
              </w:rPr>
            </w:pPr>
            <w:r>
              <w:rPr>
                <w:rFonts w:hint="eastAsia" w:ascii="新宋体" w:hAnsi="新宋体" w:eastAsia="新宋体" w:cs="宋体"/>
                <w:color w:val="auto"/>
                <w:kern w:val="0"/>
                <w:sz w:val="16"/>
                <w:szCs w:val="16"/>
              </w:rPr>
              <w:t>支持管理员数据导入、外部系统定义、临时表定义、临时表导入配、正式表导入配置、对照关系维护;</w:t>
            </w:r>
            <w:r>
              <w:rPr>
                <w:rFonts w:hint="eastAsia" w:ascii="新宋体" w:hAnsi="新宋体" w:eastAsia="新宋体" w:cs="宋体"/>
                <w:color w:val="auto"/>
                <w:kern w:val="0"/>
                <w:sz w:val="16"/>
                <w:szCs w:val="16"/>
              </w:rPr>
              <w:br w:type="textWrapping"/>
            </w:r>
            <w:r>
              <w:rPr>
                <w:rFonts w:hint="eastAsia" w:ascii="新宋体" w:hAnsi="新宋体" w:eastAsia="新宋体" w:cs="宋体"/>
                <w:color w:val="auto"/>
                <w:kern w:val="0"/>
                <w:sz w:val="16"/>
                <w:szCs w:val="16"/>
              </w:rPr>
              <w:t>支持编辑</w:t>
            </w:r>
            <w:r>
              <w:rPr>
                <w:rFonts w:hint="eastAsia" w:ascii="新宋体" w:hAnsi="新宋体" w:eastAsia="新宋体" w:cs="宋体"/>
                <w:color w:val="auto"/>
                <w:kern w:val="0"/>
                <w:sz w:val="16"/>
                <w:szCs w:val="16"/>
                <w:lang w:val="en-US" w:eastAsia="zh-CN"/>
              </w:rPr>
              <w:t>删除</w:t>
            </w:r>
            <w:r>
              <w:rPr>
                <w:rFonts w:hint="eastAsia" w:ascii="新宋体" w:hAnsi="新宋体" w:eastAsia="新宋体" w:cs="宋体"/>
                <w:color w:val="auto"/>
                <w:kern w:val="0"/>
                <w:sz w:val="16"/>
                <w:szCs w:val="16"/>
              </w:rPr>
              <w:t>和开放的协议支持，具备高性能处理能力，每秒不少于1000的事务处理能力，尤其对于X数据的校验和解析、XSLT 解析、非XM报文的处理、路由和过滤、数据库操作、Web Services调用等都要满足高性能要求，提供动态的缓存机制，保证数据能够在内存中最快速的处理:支持从HIS、HRP、RIS、LIS、手术麻醉和成本等主要业务系统数据自动采集;支持每月自动对照HIS系统；支持自动在绩效管理系统更新维护收费项目，且标识新增收费类别的更新月份；支持设置每个收费项目点数，包括判断点数、执行点数、护理点数、护理治疗点数;支持医护贡献度设置，收费项目不同科室医护参与程度不同，系统必须支持收费项目不同科室设置不同点数;支持从现有医院信息系统和医院平台自动进行数据收集，采集范围包括HIS系统、LIS系统、PACS系统、电子病历系统、手术麻醉系统、成本核算系统、人事管理系统等。</w:t>
            </w:r>
          </w:p>
        </w:tc>
      </w:tr>
      <w:tr w14:paraId="56B60C2B">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628FC38D">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128066A3">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17A65DAC">
            <w:pPr>
              <w:widowControl/>
              <w:jc w:val="left"/>
              <w:rPr>
                <w:rFonts w:ascii="新宋体" w:hAnsi="新宋体" w:eastAsia="新宋体" w:cs="宋体"/>
                <w:color w:val="000000"/>
                <w:kern w:val="0"/>
                <w:sz w:val="16"/>
                <w:szCs w:val="16"/>
              </w:rPr>
            </w:pPr>
          </w:p>
        </w:tc>
      </w:tr>
      <w:tr w14:paraId="7E25CA2E">
        <w:tblPrEx>
          <w:tblCellMar>
            <w:top w:w="0" w:type="dxa"/>
            <w:left w:w="108" w:type="dxa"/>
            <w:bottom w:w="0" w:type="dxa"/>
            <w:right w:w="108" w:type="dxa"/>
          </w:tblCellMar>
        </w:tblPrEx>
        <w:trPr>
          <w:trHeight w:val="1875" w:hRule="atLeast"/>
        </w:trPr>
        <w:tc>
          <w:tcPr>
            <w:tcW w:w="1260" w:type="dxa"/>
            <w:vMerge w:val="continue"/>
            <w:tcBorders>
              <w:top w:val="nil"/>
              <w:left w:val="single" w:color="auto" w:sz="4" w:space="0"/>
              <w:bottom w:val="single" w:color="auto" w:sz="4" w:space="0"/>
              <w:right w:val="single" w:color="auto" w:sz="4" w:space="0"/>
            </w:tcBorders>
            <w:vAlign w:val="center"/>
          </w:tcPr>
          <w:p w14:paraId="1E95566E">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12E2E43B">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345A3486">
            <w:pPr>
              <w:widowControl/>
              <w:jc w:val="left"/>
              <w:rPr>
                <w:rFonts w:ascii="新宋体" w:hAnsi="新宋体" w:eastAsia="新宋体" w:cs="宋体"/>
                <w:color w:val="000000"/>
                <w:kern w:val="0"/>
                <w:sz w:val="16"/>
                <w:szCs w:val="16"/>
              </w:rPr>
            </w:pPr>
          </w:p>
        </w:tc>
      </w:tr>
      <w:tr w14:paraId="6DC3076B">
        <w:tblPrEx>
          <w:tblCellMar>
            <w:top w:w="0" w:type="dxa"/>
            <w:left w:w="108" w:type="dxa"/>
            <w:bottom w:w="0" w:type="dxa"/>
            <w:right w:w="108" w:type="dxa"/>
          </w:tblCellMar>
        </w:tblPrEx>
        <w:trPr>
          <w:trHeight w:val="1553" w:hRule="atLeast"/>
        </w:trPr>
        <w:tc>
          <w:tcPr>
            <w:tcW w:w="1260" w:type="dxa"/>
            <w:vMerge w:val="continue"/>
            <w:tcBorders>
              <w:top w:val="nil"/>
              <w:left w:val="single" w:color="auto" w:sz="4" w:space="0"/>
              <w:bottom w:val="single" w:color="auto" w:sz="4" w:space="0"/>
              <w:right w:val="single" w:color="auto" w:sz="4" w:space="0"/>
            </w:tcBorders>
            <w:vAlign w:val="center"/>
          </w:tcPr>
          <w:p w14:paraId="2E2D792F">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6C9833A6">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绩效方案设计</w:t>
            </w:r>
          </w:p>
        </w:tc>
        <w:tc>
          <w:tcPr>
            <w:tcW w:w="6800" w:type="dxa"/>
            <w:tcBorders>
              <w:top w:val="nil"/>
              <w:left w:val="nil"/>
              <w:bottom w:val="single" w:color="auto" w:sz="4" w:space="0"/>
              <w:right w:val="single" w:color="auto" w:sz="4" w:space="0"/>
            </w:tcBorders>
            <w:shd w:val="clear" w:color="auto" w:fill="auto"/>
            <w:vAlign w:val="center"/>
          </w:tcPr>
          <w:p w14:paraId="1213D6FD">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绩效管理体系：绩效管理组织、绩效管理体系建设</w:t>
            </w:r>
            <w:r>
              <w:rPr>
                <w:rFonts w:hint="eastAsia" w:ascii="新宋体" w:hAnsi="新宋体" w:eastAsia="新宋体" w:cs="宋体"/>
                <w:color w:val="000000"/>
                <w:kern w:val="0"/>
                <w:sz w:val="16"/>
                <w:szCs w:val="16"/>
              </w:rPr>
              <w:br w:type="textWrapping"/>
            </w:r>
            <w:r>
              <w:rPr>
                <w:rFonts w:hint="eastAsia" w:ascii="新宋体" w:hAnsi="新宋体" w:eastAsia="新宋体" w:cs="宋体"/>
                <w:color w:val="000000"/>
                <w:kern w:val="0"/>
                <w:sz w:val="16"/>
                <w:szCs w:val="16"/>
              </w:rPr>
              <w:t>绩效核算单元：临床医生类核算单元、临床护理类核算单元、医技科室类核算单元、药剂类核算单元、医疗辅助类核单元、行政后勤核算单元绩效预算：</w:t>
            </w:r>
            <w:r>
              <w:rPr>
                <w:rFonts w:hint="eastAsia" w:ascii="新宋体" w:hAnsi="新宋体" w:eastAsia="新宋体" w:cs="宋体"/>
                <w:color w:val="000000"/>
                <w:kern w:val="0"/>
                <w:sz w:val="16"/>
                <w:szCs w:val="16"/>
              </w:rPr>
              <w:br w:type="textWrapping"/>
            </w:r>
            <w:r>
              <w:rPr>
                <w:rFonts w:hint="eastAsia" w:ascii="新宋体" w:hAnsi="新宋体" w:eastAsia="新宋体" w:cs="宋体"/>
                <w:color w:val="000000"/>
                <w:kern w:val="0"/>
                <w:sz w:val="16"/>
                <w:szCs w:val="16"/>
              </w:rPr>
              <w:t>绩效总额预算、绩效预算规划、职系预算、绩效工资预算分配</w:t>
            </w:r>
            <w:r>
              <w:rPr>
                <w:rFonts w:hint="eastAsia" w:ascii="新宋体" w:hAnsi="新宋体" w:eastAsia="新宋体" w:cs="宋体"/>
                <w:color w:val="000000"/>
                <w:kern w:val="0"/>
                <w:sz w:val="16"/>
                <w:szCs w:val="16"/>
              </w:rPr>
              <w:br w:type="textWrapping"/>
            </w:r>
            <w:r>
              <w:rPr>
                <w:rFonts w:hint="eastAsia" w:ascii="新宋体" w:hAnsi="新宋体" w:eastAsia="新宋体" w:cs="宋体"/>
                <w:color w:val="000000"/>
                <w:kern w:val="0"/>
                <w:sz w:val="16"/>
                <w:szCs w:val="16"/>
              </w:rPr>
              <w:t>绩效指标：积分指标</w:t>
            </w:r>
            <w:r>
              <w:rPr>
                <w:rFonts w:hint="eastAsia" w:ascii="新宋体" w:hAnsi="新宋体" w:eastAsia="新宋体" w:cs="宋体"/>
                <w:color w:val="000000"/>
                <w:kern w:val="0"/>
                <w:sz w:val="16"/>
                <w:szCs w:val="16"/>
              </w:rPr>
              <w:br w:type="textWrapping"/>
            </w:r>
            <w:r>
              <w:rPr>
                <w:rFonts w:hint="eastAsia" w:ascii="新宋体" w:hAnsi="新宋体" w:eastAsia="新宋体" w:cs="宋体"/>
                <w:color w:val="000000"/>
                <w:kern w:val="0"/>
                <w:sz w:val="16"/>
                <w:szCs w:val="16"/>
              </w:rPr>
              <w:t>奖励性绩效核算：临床医生类核算规则、临床护理类核算规则、医技科室类核算规则、药剂类核算规则、医疗辅助类核规则、行政后勤核算规则</w:t>
            </w:r>
          </w:p>
        </w:tc>
      </w:tr>
      <w:tr w14:paraId="25CB96FC">
        <w:tblPrEx>
          <w:tblCellMar>
            <w:top w:w="0" w:type="dxa"/>
            <w:left w:w="108" w:type="dxa"/>
            <w:bottom w:w="0" w:type="dxa"/>
            <w:right w:w="108" w:type="dxa"/>
          </w:tblCellMar>
        </w:tblPrEx>
        <w:trPr>
          <w:trHeight w:val="677" w:hRule="atLeast"/>
        </w:trPr>
        <w:tc>
          <w:tcPr>
            <w:tcW w:w="1260" w:type="dxa"/>
            <w:vMerge w:val="continue"/>
            <w:tcBorders>
              <w:top w:val="nil"/>
              <w:left w:val="single" w:color="auto" w:sz="4" w:space="0"/>
              <w:bottom w:val="single" w:color="auto" w:sz="4" w:space="0"/>
              <w:right w:val="single" w:color="auto" w:sz="4" w:space="0"/>
            </w:tcBorders>
            <w:vAlign w:val="center"/>
          </w:tcPr>
          <w:p w14:paraId="33B3923A">
            <w:pPr>
              <w:widowControl/>
              <w:jc w:val="left"/>
              <w:rPr>
                <w:rFonts w:ascii="微软雅黑" w:hAnsi="微软雅黑" w:eastAsia="微软雅黑" w:cs="宋体"/>
                <w:b/>
                <w:bCs/>
                <w:color w:val="4874CB"/>
                <w:kern w:val="0"/>
                <w:sz w:val="22"/>
                <w:szCs w:val="22"/>
              </w:rPr>
            </w:pPr>
          </w:p>
        </w:tc>
        <w:tc>
          <w:tcPr>
            <w:tcW w:w="1980" w:type="dxa"/>
            <w:vMerge w:val="restart"/>
            <w:tcBorders>
              <w:top w:val="nil"/>
              <w:left w:val="single" w:color="auto" w:sz="4" w:space="0"/>
              <w:bottom w:val="single" w:color="auto" w:sz="4" w:space="0"/>
              <w:right w:val="single" w:color="auto" w:sz="4" w:space="0"/>
            </w:tcBorders>
            <w:shd w:val="clear" w:color="auto" w:fill="auto"/>
            <w:vAlign w:val="center"/>
          </w:tcPr>
          <w:p w14:paraId="3269092D">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绩效方案管理</w:t>
            </w:r>
          </w:p>
        </w:tc>
        <w:tc>
          <w:tcPr>
            <w:tcW w:w="6800" w:type="dxa"/>
            <w:vMerge w:val="restart"/>
            <w:tcBorders>
              <w:top w:val="nil"/>
              <w:left w:val="single" w:color="auto" w:sz="4" w:space="0"/>
              <w:bottom w:val="single" w:color="000000" w:sz="4" w:space="0"/>
              <w:right w:val="single" w:color="auto" w:sz="4" w:space="0"/>
            </w:tcBorders>
            <w:shd w:val="clear" w:color="auto" w:fill="auto"/>
            <w:vAlign w:val="center"/>
          </w:tcPr>
          <w:p w14:paraId="2DFE614C">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支持岗位绩效方案基础定义、科室绩效方案基础定义、科室基金方案配置;支持RBRVS、点数法等核算方法；</w:t>
            </w:r>
            <w:r>
              <w:rPr>
                <w:rFonts w:hint="eastAsia" w:ascii="新宋体" w:hAnsi="新宋体" w:eastAsia="新宋体" w:cs="宋体"/>
                <w:color w:val="000000"/>
                <w:kern w:val="0"/>
                <w:sz w:val="16"/>
                <w:szCs w:val="16"/>
              </w:rPr>
              <w:br w:type="textWrapping"/>
            </w:r>
            <w:r>
              <w:rPr>
                <w:rFonts w:hint="eastAsia" w:ascii="新宋体" w:hAnsi="新宋体" w:eastAsia="新宋体" w:cs="宋体"/>
                <w:color w:val="000000"/>
                <w:kern w:val="0"/>
                <w:sz w:val="16"/>
                <w:szCs w:val="16"/>
              </w:rPr>
              <w:t>支持集团化多组织间绩效核算管理，绩效核算模块应匹配医院的绩效核算方案;支持RBRVS点数维护:全院收费项目必须通过本《绩效管理系统》和RBRVS的本土化点数结果进行-一对应，对应后的结果可在规则引警中直接被应用而无需特殊处理。RBRVS的本土化点数可由程序统一进行升级，程序应当主动发现未被赋点数的收费项目，并由升级文件对未配点数的收费项目进行点数赋值;支持点数规则引擎能将点数与规则结合，支持用户通过界面配置来完成项目点数的归属确认；支持通过多种条件的组合，能够实现较为复杂的逻辑。支持系统具有按照医生科室、病人科室、员工、职称、费别、项目、员工身份、节假日工作、门诊住院工作等条件进行规则制定的能力;</w:t>
            </w:r>
          </w:p>
        </w:tc>
      </w:tr>
      <w:tr w14:paraId="2F1F56BB">
        <w:tblPrEx>
          <w:tblCellMar>
            <w:top w:w="0" w:type="dxa"/>
            <w:left w:w="108" w:type="dxa"/>
            <w:bottom w:w="0" w:type="dxa"/>
            <w:right w:w="108" w:type="dxa"/>
          </w:tblCellMar>
        </w:tblPrEx>
        <w:trPr>
          <w:trHeight w:val="677" w:hRule="atLeast"/>
        </w:trPr>
        <w:tc>
          <w:tcPr>
            <w:tcW w:w="1260" w:type="dxa"/>
            <w:vMerge w:val="continue"/>
            <w:tcBorders>
              <w:top w:val="nil"/>
              <w:left w:val="single" w:color="auto" w:sz="4" w:space="0"/>
              <w:bottom w:val="single" w:color="auto" w:sz="4" w:space="0"/>
              <w:right w:val="single" w:color="auto" w:sz="4" w:space="0"/>
            </w:tcBorders>
            <w:vAlign w:val="center"/>
          </w:tcPr>
          <w:p w14:paraId="5B08D51F">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16993EE1">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000000" w:sz="4" w:space="0"/>
              <w:right w:val="single" w:color="auto" w:sz="4" w:space="0"/>
            </w:tcBorders>
            <w:vAlign w:val="center"/>
          </w:tcPr>
          <w:p w14:paraId="13C3DF84">
            <w:pPr>
              <w:widowControl/>
              <w:jc w:val="left"/>
              <w:rPr>
                <w:rFonts w:ascii="新宋体" w:hAnsi="新宋体" w:eastAsia="新宋体" w:cs="宋体"/>
                <w:color w:val="000000"/>
                <w:kern w:val="0"/>
                <w:sz w:val="16"/>
                <w:szCs w:val="16"/>
              </w:rPr>
            </w:pPr>
          </w:p>
        </w:tc>
      </w:tr>
      <w:tr w14:paraId="7AD746AF">
        <w:tblPrEx>
          <w:tblCellMar>
            <w:top w:w="0" w:type="dxa"/>
            <w:left w:w="108" w:type="dxa"/>
            <w:bottom w:w="0" w:type="dxa"/>
            <w:right w:w="108" w:type="dxa"/>
          </w:tblCellMar>
        </w:tblPrEx>
        <w:trPr>
          <w:trHeight w:val="938" w:hRule="atLeast"/>
        </w:trPr>
        <w:tc>
          <w:tcPr>
            <w:tcW w:w="1260" w:type="dxa"/>
            <w:vMerge w:val="continue"/>
            <w:tcBorders>
              <w:top w:val="nil"/>
              <w:left w:val="single" w:color="auto" w:sz="4" w:space="0"/>
              <w:bottom w:val="single" w:color="auto" w:sz="4" w:space="0"/>
              <w:right w:val="single" w:color="auto" w:sz="4" w:space="0"/>
            </w:tcBorders>
            <w:vAlign w:val="center"/>
          </w:tcPr>
          <w:p w14:paraId="14BC4861">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6C46FBEC">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000000" w:sz="4" w:space="0"/>
              <w:right w:val="single" w:color="auto" w:sz="4" w:space="0"/>
            </w:tcBorders>
            <w:vAlign w:val="center"/>
          </w:tcPr>
          <w:p w14:paraId="50B44FE6">
            <w:pPr>
              <w:widowControl/>
              <w:jc w:val="left"/>
              <w:rPr>
                <w:rFonts w:ascii="新宋体" w:hAnsi="新宋体" w:eastAsia="新宋体" w:cs="宋体"/>
                <w:color w:val="000000"/>
                <w:kern w:val="0"/>
                <w:sz w:val="16"/>
                <w:szCs w:val="16"/>
              </w:rPr>
            </w:pPr>
          </w:p>
        </w:tc>
      </w:tr>
      <w:tr w14:paraId="4837421D">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31EEA9C9">
            <w:pPr>
              <w:widowControl/>
              <w:jc w:val="left"/>
              <w:rPr>
                <w:rFonts w:ascii="微软雅黑" w:hAnsi="微软雅黑" w:eastAsia="微软雅黑" w:cs="宋体"/>
                <w:b/>
                <w:bCs/>
                <w:color w:val="4874CB"/>
                <w:kern w:val="0"/>
                <w:sz w:val="22"/>
                <w:szCs w:val="22"/>
              </w:rPr>
            </w:pPr>
          </w:p>
        </w:tc>
        <w:tc>
          <w:tcPr>
            <w:tcW w:w="1980" w:type="dxa"/>
            <w:vMerge w:val="restart"/>
            <w:tcBorders>
              <w:top w:val="nil"/>
              <w:left w:val="single" w:color="auto" w:sz="4" w:space="0"/>
              <w:bottom w:val="single" w:color="auto" w:sz="4" w:space="0"/>
              <w:right w:val="single" w:color="auto" w:sz="4" w:space="0"/>
            </w:tcBorders>
            <w:shd w:val="clear" w:color="auto" w:fill="auto"/>
            <w:vAlign w:val="center"/>
          </w:tcPr>
          <w:p w14:paraId="144C21F9">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绩效核算管理</w:t>
            </w:r>
          </w:p>
        </w:tc>
        <w:tc>
          <w:tcPr>
            <w:tcW w:w="6800" w:type="dxa"/>
            <w:vMerge w:val="restart"/>
            <w:tcBorders>
              <w:top w:val="nil"/>
              <w:left w:val="single" w:color="auto" w:sz="4" w:space="0"/>
              <w:bottom w:val="single" w:color="auto" w:sz="4" w:space="0"/>
              <w:right w:val="single" w:color="auto" w:sz="4" w:space="0"/>
            </w:tcBorders>
            <w:shd w:val="clear" w:color="auto" w:fill="auto"/>
          </w:tcPr>
          <w:p w14:paraId="1494C39A">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支持指标数据导入；支持指标值维护(科室)；支持绩效指标维护(行后)；支持固定指标维护；支持绩效指标值、绩效原始指标査看、绩效奖金计算(科室)、绩效核算结果。支持自由定义奖金试算公式，根据全院所有职工奖金试算方法，罗列出所有公式模板集会，并将公式维护到系统中:公式包含计算因子。计算符号和常量组成，可以根据实际情况进行加、减、乘、除和括号的表达式配置；支持公式配置完成后公式校验;支持全程设置通过拖拽操作进行可视化配置。</w:t>
            </w:r>
          </w:p>
        </w:tc>
      </w:tr>
      <w:tr w14:paraId="5CF7E4CE">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4F421DBA">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01B2023E">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6A7F42A5">
            <w:pPr>
              <w:widowControl/>
              <w:jc w:val="left"/>
              <w:rPr>
                <w:rFonts w:ascii="新宋体" w:hAnsi="新宋体" w:eastAsia="新宋体" w:cs="宋体"/>
                <w:color w:val="000000"/>
                <w:kern w:val="0"/>
                <w:sz w:val="16"/>
                <w:szCs w:val="16"/>
              </w:rPr>
            </w:pPr>
          </w:p>
        </w:tc>
      </w:tr>
      <w:tr w14:paraId="48A3A576">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4BBC8D25">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528BCEE2">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36C2F0D5">
            <w:pPr>
              <w:widowControl/>
              <w:jc w:val="left"/>
              <w:rPr>
                <w:rFonts w:ascii="新宋体" w:hAnsi="新宋体" w:eastAsia="新宋体" w:cs="宋体"/>
                <w:color w:val="000000"/>
                <w:kern w:val="0"/>
                <w:sz w:val="16"/>
                <w:szCs w:val="16"/>
              </w:rPr>
            </w:pPr>
          </w:p>
        </w:tc>
      </w:tr>
      <w:tr w14:paraId="7913B4F0">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3F8966FF">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32EDF41F">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27B6CB79">
            <w:pPr>
              <w:widowControl/>
              <w:jc w:val="left"/>
              <w:rPr>
                <w:rFonts w:ascii="新宋体" w:hAnsi="新宋体" w:eastAsia="新宋体" w:cs="宋体"/>
                <w:color w:val="000000"/>
                <w:kern w:val="0"/>
                <w:sz w:val="16"/>
                <w:szCs w:val="16"/>
              </w:rPr>
            </w:pPr>
          </w:p>
        </w:tc>
      </w:tr>
      <w:tr w14:paraId="0F313590">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289DD4CF">
            <w:pPr>
              <w:widowControl/>
              <w:jc w:val="left"/>
              <w:rPr>
                <w:rFonts w:ascii="微软雅黑" w:hAnsi="微软雅黑" w:eastAsia="微软雅黑" w:cs="宋体"/>
                <w:b/>
                <w:bCs/>
                <w:color w:val="4874CB"/>
                <w:kern w:val="0"/>
                <w:sz w:val="22"/>
                <w:szCs w:val="22"/>
              </w:rPr>
            </w:pPr>
          </w:p>
        </w:tc>
        <w:tc>
          <w:tcPr>
            <w:tcW w:w="1980" w:type="dxa"/>
            <w:vMerge w:val="restart"/>
            <w:tcBorders>
              <w:top w:val="nil"/>
              <w:left w:val="single" w:color="auto" w:sz="4" w:space="0"/>
              <w:bottom w:val="single" w:color="auto" w:sz="4" w:space="0"/>
              <w:right w:val="single" w:color="auto" w:sz="4" w:space="0"/>
            </w:tcBorders>
            <w:shd w:val="clear" w:color="auto" w:fill="auto"/>
            <w:vAlign w:val="center"/>
          </w:tcPr>
          <w:p w14:paraId="0021840A">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人员绩效分配管理</w:t>
            </w:r>
          </w:p>
        </w:tc>
        <w:tc>
          <w:tcPr>
            <w:tcW w:w="6800" w:type="dxa"/>
            <w:vMerge w:val="restart"/>
            <w:tcBorders>
              <w:top w:val="nil"/>
              <w:left w:val="single" w:color="auto" w:sz="4" w:space="0"/>
              <w:bottom w:val="single" w:color="auto" w:sz="4" w:space="0"/>
              <w:right w:val="single" w:color="auto" w:sz="4" w:space="0"/>
            </w:tcBorders>
            <w:shd w:val="clear" w:color="auto" w:fill="auto"/>
          </w:tcPr>
          <w:p w14:paraId="06A37592">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支持科室奖金录入、奖金二次分配、奖金分配查询、金额调整查询;支持科室绩效发布流程，灵活应对医院绩效管理部门奖金发放审核的流程管理要求，以配置形式实现一次分配奖金的审核、封账、发布事件的流程组合，且可针对不同节点设置不同权限；支持个人绩效上报:科室自行评价考核科内人员的绩效并进行发放，包括本模块；支持科室将发放结果以手工填报、Exce1上传等方式反馈到绩效管理部门。支持跨科室发放，允许核算单元负责人将部分绩效奖励给为本单元带来贡献的他科人员；支持绩效调剂:部分大科室主任对其所管辖科室进行绩效的调节与再分配，包含科室之间总绩效横向调拨的功能；支持医、护、技、行管不同类别的二次分配方案，支持个人绩效上报外，还必须支持复杂的科室分配方式，通过系统采集到的个人数据(手术、管床、排班、门诊、特殊治疗项目、自定义项目等)结合科室手工核准上报的项目，从年资、工作量、奖惩三个角度，自动对个人绩效进行评价和发放；支持规则明细分析:通过系统能够精准定位到每一条收费项目所匹配的规则，以及规则核算主体，便于医院发现是否有工作量的分配被遗漏。</w:t>
            </w:r>
          </w:p>
        </w:tc>
      </w:tr>
      <w:tr w14:paraId="0933BD03">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4AEDA0F3">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4E7888EE">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04B543F0">
            <w:pPr>
              <w:widowControl/>
              <w:jc w:val="left"/>
              <w:rPr>
                <w:rFonts w:ascii="新宋体" w:hAnsi="新宋体" w:eastAsia="新宋体" w:cs="宋体"/>
                <w:color w:val="000000"/>
                <w:kern w:val="0"/>
                <w:sz w:val="16"/>
                <w:szCs w:val="16"/>
              </w:rPr>
            </w:pPr>
          </w:p>
        </w:tc>
      </w:tr>
      <w:tr w14:paraId="386E2B79">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4ABA3038">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66BBCBAA">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44ADBFFA">
            <w:pPr>
              <w:widowControl/>
              <w:jc w:val="left"/>
              <w:rPr>
                <w:rFonts w:ascii="新宋体" w:hAnsi="新宋体" w:eastAsia="新宋体" w:cs="宋体"/>
                <w:color w:val="000000"/>
                <w:kern w:val="0"/>
                <w:sz w:val="16"/>
                <w:szCs w:val="16"/>
              </w:rPr>
            </w:pPr>
          </w:p>
        </w:tc>
      </w:tr>
      <w:tr w14:paraId="7DC421FE">
        <w:tblPrEx>
          <w:tblCellMar>
            <w:top w:w="0" w:type="dxa"/>
            <w:left w:w="108" w:type="dxa"/>
            <w:bottom w:w="0" w:type="dxa"/>
            <w:right w:w="108" w:type="dxa"/>
          </w:tblCellMar>
        </w:tblPrEx>
        <w:trPr>
          <w:trHeight w:val="1020" w:hRule="atLeast"/>
        </w:trPr>
        <w:tc>
          <w:tcPr>
            <w:tcW w:w="1260" w:type="dxa"/>
            <w:vMerge w:val="continue"/>
            <w:tcBorders>
              <w:top w:val="nil"/>
              <w:left w:val="single" w:color="auto" w:sz="4" w:space="0"/>
              <w:bottom w:val="single" w:color="auto" w:sz="4" w:space="0"/>
              <w:right w:val="single" w:color="auto" w:sz="4" w:space="0"/>
            </w:tcBorders>
            <w:vAlign w:val="center"/>
          </w:tcPr>
          <w:p w14:paraId="0C6D3F71">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6A2E8F8F">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06FA0ECF">
            <w:pPr>
              <w:widowControl/>
              <w:jc w:val="left"/>
              <w:rPr>
                <w:rFonts w:ascii="新宋体" w:hAnsi="新宋体" w:eastAsia="新宋体" w:cs="宋体"/>
                <w:color w:val="000000"/>
                <w:kern w:val="0"/>
                <w:sz w:val="16"/>
                <w:szCs w:val="16"/>
              </w:rPr>
            </w:pPr>
          </w:p>
        </w:tc>
      </w:tr>
      <w:tr w14:paraId="3A546DBA">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427E4729">
            <w:pPr>
              <w:widowControl/>
              <w:jc w:val="left"/>
              <w:rPr>
                <w:rFonts w:ascii="微软雅黑" w:hAnsi="微软雅黑" w:eastAsia="微软雅黑" w:cs="宋体"/>
                <w:b/>
                <w:bCs/>
                <w:color w:val="4874CB"/>
                <w:kern w:val="0"/>
                <w:sz w:val="22"/>
                <w:szCs w:val="22"/>
              </w:rPr>
            </w:pPr>
          </w:p>
        </w:tc>
        <w:tc>
          <w:tcPr>
            <w:tcW w:w="1980" w:type="dxa"/>
            <w:vMerge w:val="restart"/>
            <w:tcBorders>
              <w:top w:val="nil"/>
              <w:left w:val="single" w:color="auto" w:sz="4" w:space="0"/>
              <w:bottom w:val="single" w:color="auto" w:sz="4" w:space="0"/>
              <w:right w:val="single" w:color="auto" w:sz="4" w:space="0"/>
            </w:tcBorders>
            <w:shd w:val="clear" w:color="auto" w:fill="auto"/>
            <w:vAlign w:val="center"/>
          </w:tcPr>
          <w:p w14:paraId="0779F59E">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科室数据管理</w:t>
            </w:r>
          </w:p>
        </w:tc>
        <w:tc>
          <w:tcPr>
            <w:tcW w:w="6800" w:type="dxa"/>
            <w:vMerge w:val="restart"/>
            <w:tcBorders>
              <w:top w:val="nil"/>
              <w:left w:val="single" w:color="auto" w:sz="4" w:space="0"/>
              <w:bottom w:val="single" w:color="auto" w:sz="4" w:space="0"/>
              <w:right w:val="single" w:color="auto" w:sz="4" w:space="0"/>
            </w:tcBorders>
            <w:shd w:val="clear" w:color="auto" w:fill="auto"/>
          </w:tcPr>
          <w:p w14:paraId="1E51278F">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支持科室绩效分配明细；支持绩效工资查询；支持科室绩效工资查询；支持运营绩效报表、KPI考核报表、绩效审批表、科室人员绩效报表、人员绩效报表、期间绩效报表</w:t>
            </w:r>
          </w:p>
        </w:tc>
      </w:tr>
      <w:tr w14:paraId="70E6C417">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61B1F889">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25501CB9">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39790335">
            <w:pPr>
              <w:widowControl/>
              <w:jc w:val="left"/>
              <w:rPr>
                <w:rFonts w:ascii="新宋体" w:hAnsi="新宋体" w:eastAsia="新宋体" w:cs="宋体"/>
                <w:color w:val="000000"/>
                <w:kern w:val="0"/>
                <w:sz w:val="16"/>
                <w:szCs w:val="16"/>
              </w:rPr>
            </w:pPr>
          </w:p>
        </w:tc>
      </w:tr>
      <w:tr w14:paraId="69CBECC2">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032D4EE9">
            <w:pPr>
              <w:widowControl/>
              <w:jc w:val="left"/>
              <w:rPr>
                <w:rFonts w:ascii="微软雅黑" w:hAnsi="微软雅黑" w:eastAsia="微软雅黑" w:cs="宋体"/>
                <w:b/>
                <w:bCs/>
                <w:color w:val="4874CB"/>
                <w:kern w:val="0"/>
                <w:sz w:val="22"/>
                <w:szCs w:val="22"/>
              </w:rPr>
            </w:pPr>
          </w:p>
        </w:tc>
        <w:tc>
          <w:tcPr>
            <w:tcW w:w="1980" w:type="dxa"/>
            <w:vMerge w:val="restart"/>
            <w:tcBorders>
              <w:top w:val="nil"/>
              <w:left w:val="single" w:color="auto" w:sz="4" w:space="0"/>
              <w:bottom w:val="single" w:color="auto" w:sz="4" w:space="0"/>
              <w:right w:val="single" w:color="auto" w:sz="4" w:space="0"/>
            </w:tcBorders>
            <w:shd w:val="clear" w:color="auto" w:fill="auto"/>
            <w:vAlign w:val="center"/>
          </w:tcPr>
          <w:p w14:paraId="6E65A2C1">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决策应用分析管理</w:t>
            </w:r>
          </w:p>
        </w:tc>
        <w:tc>
          <w:tcPr>
            <w:tcW w:w="6800" w:type="dxa"/>
            <w:vMerge w:val="restart"/>
            <w:tcBorders>
              <w:top w:val="nil"/>
              <w:left w:val="single" w:color="auto" w:sz="4" w:space="0"/>
              <w:bottom w:val="single" w:color="auto" w:sz="4" w:space="0"/>
              <w:right w:val="single" w:color="auto" w:sz="4" w:space="0"/>
            </w:tcBorders>
            <w:shd w:val="clear" w:color="auto" w:fill="auto"/>
          </w:tcPr>
          <w:p w14:paraId="63A51126">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支持奖金分配数据统计、员工奖金历史数据、部门绩效发放趋势图、部门绩效计算结果查看、绩效奖金组成分析等；支持绩效报表导出和打印，分析及报表展示包括绩效总览、院长首页、职工首页、工作量分析报表、奖金分析报表、财务特需报表、其他自定义绩效报表;       支持绩效查询和分析；支持各科室绩效核算公式查询、各核算指标汇总查询;支持移动应用端H5小程序，绩效工资查询及绩效反馈；</w:t>
            </w:r>
          </w:p>
        </w:tc>
      </w:tr>
      <w:tr w14:paraId="2E0E7523">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7DD389F5">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30F3754A">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17650024">
            <w:pPr>
              <w:widowControl/>
              <w:jc w:val="left"/>
              <w:rPr>
                <w:rFonts w:ascii="新宋体" w:hAnsi="新宋体" w:eastAsia="新宋体" w:cs="宋体"/>
                <w:color w:val="000000"/>
                <w:kern w:val="0"/>
                <w:sz w:val="16"/>
                <w:szCs w:val="16"/>
              </w:rPr>
            </w:pPr>
          </w:p>
        </w:tc>
      </w:tr>
      <w:tr w14:paraId="40EDEDAB">
        <w:tblPrEx>
          <w:tblCellMar>
            <w:top w:w="0" w:type="dxa"/>
            <w:left w:w="108" w:type="dxa"/>
            <w:bottom w:w="0" w:type="dxa"/>
            <w:right w:w="108" w:type="dxa"/>
          </w:tblCellMar>
        </w:tblPrEx>
        <w:trPr>
          <w:trHeight w:val="624" w:hRule="atLeast"/>
        </w:trPr>
        <w:tc>
          <w:tcPr>
            <w:tcW w:w="1260" w:type="dxa"/>
            <w:vMerge w:val="continue"/>
            <w:tcBorders>
              <w:top w:val="nil"/>
              <w:left w:val="single" w:color="auto" w:sz="4" w:space="0"/>
              <w:bottom w:val="single" w:color="auto" w:sz="4" w:space="0"/>
              <w:right w:val="single" w:color="auto" w:sz="4" w:space="0"/>
            </w:tcBorders>
            <w:vAlign w:val="center"/>
          </w:tcPr>
          <w:p w14:paraId="1151D19A">
            <w:pPr>
              <w:widowControl/>
              <w:jc w:val="left"/>
              <w:rPr>
                <w:rFonts w:ascii="微软雅黑" w:hAnsi="微软雅黑" w:eastAsia="微软雅黑" w:cs="宋体"/>
                <w:b/>
                <w:bCs/>
                <w:color w:val="4874CB"/>
                <w:kern w:val="0"/>
                <w:sz w:val="22"/>
                <w:szCs w:val="22"/>
              </w:rPr>
            </w:pPr>
          </w:p>
        </w:tc>
        <w:tc>
          <w:tcPr>
            <w:tcW w:w="1980" w:type="dxa"/>
            <w:vMerge w:val="continue"/>
            <w:tcBorders>
              <w:top w:val="nil"/>
              <w:left w:val="single" w:color="auto" w:sz="4" w:space="0"/>
              <w:bottom w:val="single" w:color="auto" w:sz="4" w:space="0"/>
              <w:right w:val="single" w:color="auto" w:sz="4" w:space="0"/>
            </w:tcBorders>
            <w:vAlign w:val="center"/>
          </w:tcPr>
          <w:p w14:paraId="49EC0DBC">
            <w:pPr>
              <w:widowControl/>
              <w:jc w:val="left"/>
              <w:rPr>
                <w:rFonts w:ascii="微软雅黑" w:hAnsi="微软雅黑" w:eastAsia="微软雅黑" w:cs="宋体"/>
                <w:color w:val="4874CB"/>
                <w:kern w:val="0"/>
                <w:sz w:val="22"/>
                <w:szCs w:val="22"/>
              </w:rPr>
            </w:pPr>
          </w:p>
        </w:tc>
        <w:tc>
          <w:tcPr>
            <w:tcW w:w="6800" w:type="dxa"/>
            <w:vMerge w:val="continue"/>
            <w:tcBorders>
              <w:top w:val="nil"/>
              <w:left w:val="single" w:color="auto" w:sz="4" w:space="0"/>
              <w:bottom w:val="single" w:color="auto" w:sz="4" w:space="0"/>
              <w:right w:val="single" w:color="auto" w:sz="4" w:space="0"/>
            </w:tcBorders>
            <w:vAlign w:val="center"/>
          </w:tcPr>
          <w:p w14:paraId="35BA119D">
            <w:pPr>
              <w:widowControl/>
              <w:jc w:val="left"/>
              <w:rPr>
                <w:rFonts w:ascii="新宋体" w:hAnsi="新宋体" w:eastAsia="新宋体" w:cs="宋体"/>
                <w:color w:val="000000"/>
                <w:kern w:val="0"/>
                <w:sz w:val="16"/>
                <w:szCs w:val="16"/>
              </w:rPr>
            </w:pPr>
          </w:p>
        </w:tc>
      </w:tr>
      <w:tr w14:paraId="7C647AC1">
        <w:tblPrEx>
          <w:tblCellMar>
            <w:top w:w="0" w:type="dxa"/>
            <w:left w:w="108" w:type="dxa"/>
            <w:bottom w:w="0" w:type="dxa"/>
            <w:right w:w="108" w:type="dxa"/>
          </w:tblCellMar>
        </w:tblPrEx>
        <w:trPr>
          <w:trHeight w:val="675" w:hRule="atLeast"/>
        </w:trPr>
        <w:tc>
          <w:tcPr>
            <w:tcW w:w="1260" w:type="dxa"/>
            <w:vMerge w:val="continue"/>
            <w:tcBorders>
              <w:top w:val="nil"/>
              <w:left w:val="single" w:color="auto" w:sz="4" w:space="0"/>
              <w:bottom w:val="single" w:color="auto" w:sz="4" w:space="0"/>
              <w:right w:val="single" w:color="auto" w:sz="4" w:space="0"/>
            </w:tcBorders>
            <w:vAlign w:val="center"/>
          </w:tcPr>
          <w:p w14:paraId="2673F9C1">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214947F8">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项目收入数据</w:t>
            </w:r>
          </w:p>
        </w:tc>
        <w:tc>
          <w:tcPr>
            <w:tcW w:w="6800" w:type="dxa"/>
            <w:tcBorders>
              <w:top w:val="nil"/>
              <w:left w:val="nil"/>
              <w:bottom w:val="single" w:color="auto" w:sz="4" w:space="0"/>
              <w:right w:val="single" w:color="auto" w:sz="4" w:space="0"/>
            </w:tcBorders>
            <w:shd w:val="clear" w:color="auto" w:fill="auto"/>
            <w:vAlign w:val="center"/>
          </w:tcPr>
          <w:p w14:paraId="584E366F">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用于收集临床服务类科室和医疗技术类科室开展的医疗项目的收入明细数据，可为后续按收入比例分摊成本数据提供分摊参数。结合项目成本数据进行医疗项目收支结余分析。</w:t>
            </w:r>
          </w:p>
        </w:tc>
      </w:tr>
      <w:tr w14:paraId="0921C1A0">
        <w:tblPrEx>
          <w:tblCellMar>
            <w:top w:w="0" w:type="dxa"/>
            <w:left w:w="108" w:type="dxa"/>
            <w:bottom w:w="0" w:type="dxa"/>
            <w:right w:w="108" w:type="dxa"/>
          </w:tblCellMar>
        </w:tblPrEx>
        <w:trPr>
          <w:trHeight w:val="570" w:hRule="atLeast"/>
        </w:trPr>
        <w:tc>
          <w:tcPr>
            <w:tcW w:w="1260" w:type="dxa"/>
            <w:vMerge w:val="continue"/>
            <w:tcBorders>
              <w:top w:val="nil"/>
              <w:left w:val="single" w:color="auto" w:sz="4" w:space="0"/>
              <w:bottom w:val="single" w:color="auto" w:sz="4" w:space="0"/>
              <w:right w:val="single" w:color="auto" w:sz="4" w:space="0"/>
            </w:tcBorders>
            <w:vAlign w:val="center"/>
          </w:tcPr>
          <w:p w14:paraId="6F941CAF">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4B25C28A">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成本数据</w:t>
            </w:r>
          </w:p>
        </w:tc>
        <w:tc>
          <w:tcPr>
            <w:tcW w:w="6800" w:type="dxa"/>
            <w:tcBorders>
              <w:top w:val="nil"/>
              <w:left w:val="nil"/>
              <w:bottom w:val="single" w:color="auto" w:sz="4" w:space="0"/>
              <w:right w:val="single" w:color="auto" w:sz="4" w:space="0"/>
            </w:tcBorders>
            <w:shd w:val="clear" w:color="auto" w:fill="auto"/>
            <w:vAlign w:val="center"/>
          </w:tcPr>
          <w:p w14:paraId="06D39BC0">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用于获取科室成本数据，如人员经费、卫生材料、资产折旧、提取医疗风险基金，其他费用，科室二级分摊成本等。</w:t>
            </w:r>
          </w:p>
        </w:tc>
      </w:tr>
      <w:tr w14:paraId="040C886C">
        <w:tblPrEx>
          <w:tblCellMar>
            <w:top w:w="0" w:type="dxa"/>
            <w:left w:w="108" w:type="dxa"/>
            <w:bottom w:w="0" w:type="dxa"/>
            <w:right w:w="108" w:type="dxa"/>
          </w:tblCellMar>
        </w:tblPrEx>
        <w:trPr>
          <w:trHeight w:val="593" w:hRule="atLeast"/>
        </w:trPr>
        <w:tc>
          <w:tcPr>
            <w:tcW w:w="1260" w:type="dxa"/>
            <w:vMerge w:val="continue"/>
            <w:tcBorders>
              <w:top w:val="nil"/>
              <w:left w:val="single" w:color="auto" w:sz="4" w:space="0"/>
              <w:bottom w:val="single" w:color="auto" w:sz="4" w:space="0"/>
              <w:right w:val="single" w:color="auto" w:sz="4" w:space="0"/>
            </w:tcBorders>
            <w:vAlign w:val="center"/>
          </w:tcPr>
          <w:p w14:paraId="7C56192E">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74BD0740">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工作量数据</w:t>
            </w:r>
          </w:p>
        </w:tc>
        <w:tc>
          <w:tcPr>
            <w:tcW w:w="6800" w:type="dxa"/>
            <w:tcBorders>
              <w:top w:val="nil"/>
              <w:left w:val="nil"/>
              <w:bottom w:val="single" w:color="auto" w:sz="4" w:space="0"/>
              <w:right w:val="single" w:color="auto" w:sz="4" w:space="0"/>
            </w:tcBorders>
            <w:shd w:val="clear" w:color="auto" w:fill="auto"/>
            <w:vAlign w:val="center"/>
          </w:tcPr>
          <w:p w14:paraId="78604007">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用于收集临床服务类科室和医疗技术类科室开展的医疗项目的工作量数据，可为后续按工作量分摊成本数据提供分摊参数。</w:t>
            </w:r>
          </w:p>
        </w:tc>
      </w:tr>
      <w:tr w14:paraId="0544F629">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466737A7">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0A07B20F">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科室资源维护</w:t>
            </w:r>
          </w:p>
        </w:tc>
        <w:tc>
          <w:tcPr>
            <w:tcW w:w="6800" w:type="dxa"/>
            <w:tcBorders>
              <w:top w:val="nil"/>
              <w:left w:val="nil"/>
              <w:bottom w:val="single" w:color="auto" w:sz="4" w:space="0"/>
              <w:right w:val="single" w:color="auto" w:sz="4" w:space="0"/>
            </w:tcBorders>
            <w:shd w:val="clear" w:color="auto" w:fill="auto"/>
            <w:vAlign w:val="center"/>
          </w:tcPr>
          <w:p w14:paraId="371D8837">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用于维护科室在医疗项目服务过程中所需要使用的科室人员职级、科室卫生材料、科室设备和其他资源数据。</w:t>
            </w:r>
          </w:p>
        </w:tc>
      </w:tr>
      <w:tr w14:paraId="28368DEB">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72DC5BB8">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4339C090">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项目成本方案配置</w:t>
            </w:r>
          </w:p>
        </w:tc>
        <w:tc>
          <w:tcPr>
            <w:tcW w:w="6800" w:type="dxa"/>
            <w:tcBorders>
              <w:top w:val="nil"/>
              <w:left w:val="nil"/>
              <w:bottom w:val="single" w:color="auto" w:sz="4" w:space="0"/>
              <w:right w:val="single" w:color="auto" w:sz="4" w:space="0"/>
            </w:tcBorders>
            <w:shd w:val="clear" w:color="auto" w:fill="auto"/>
            <w:vAlign w:val="center"/>
          </w:tcPr>
          <w:p w14:paraId="5077CB9F">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用于维护医院各科室医疗项目作业知识库，科室建立作业资源数据模型时可根据作业知识库快速填报每个医疗服务项目的作业步骤和每个作业步骤消耗的资源情况。</w:t>
            </w:r>
          </w:p>
        </w:tc>
      </w:tr>
      <w:tr w14:paraId="6CFC1B1B">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52F85D60">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3B5B6383">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成本当量法项目成本核算</w:t>
            </w:r>
          </w:p>
        </w:tc>
        <w:tc>
          <w:tcPr>
            <w:tcW w:w="6800" w:type="dxa"/>
            <w:tcBorders>
              <w:top w:val="nil"/>
              <w:left w:val="nil"/>
              <w:bottom w:val="single" w:color="auto" w:sz="4" w:space="0"/>
              <w:right w:val="single" w:color="auto" w:sz="4" w:space="0"/>
            </w:tcBorders>
            <w:shd w:val="clear" w:color="auto" w:fill="auto"/>
            <w:vAlign w:val="center"/>
          </w:tcPr>
          <w:p w14:paraId="6C034CF1">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用于设置项目成本核算方案和成本动因，支持作业成本法、成本当量法和比例系数法三种项目成本核算方法。</w:t>
            </w:r>
          </w:p>
        </w:tc>
      </w:tr>
      <w:tr w14:paraId="3A0ADF45">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2F034DFC">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750D9ED8">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比例系数法项目成本核算</w:t>
            </w:r>
          </w:p>
        </w:tc>
        <w:tc>
          <w:tcPr>
            <w:tcW w:w="6800" w:type="dxa"/>
            <w:tcBorders>
              <w:top w:val="nil"/>
              <w:left w:val="nil"/>
              <w:bottom w:val="single" w:color="auto" w:sz="4" w:space="0"/>
              <w:right w:val="single" w:color="auto" w:sz="4" w:space="0"/>
            </w:tcBorders>
            <w:shd w:val="clear" w:color="auto" w:fill="auto"/>
            <w:vAlign w:val="center"/>
          </w:tcPr>
          <w:p w14:paraId="451C5269">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基于作业成本法完成项目成本核算，通过搭建作业资源模型，将各医疗项目划分若干作业步骤并收集各作业步骤对应消耗的资源，以此模型作为作业成本法的核算基础，支持向导式操作模式进行全流程项目成本核算。</w:t>
            </w:r>
          </w:p>
        </w:tc>
      </w:tr>
      <w:tr w14:paraId="12D0D2E9">
        <w:tblPrEx>
          <w:tblCellMar>
            <w:top w:w="0" w:type="dxa"/>
            <w:left w:w="108" w:type="dxa"/>
            <w:bottom w:w="0" w:type="dxa"/>
            <w:right w:w="108" w:type="dxa"/>
          </w:tblCellMar>
        </w:tblPrEx>
        <w:trPr>
          <w:trHeight w:val="893" w:hRule="atLeast"/>
        </w:trPr>
        <w:tc>
          <w:tcPr>
            <w:tcW w:w="1260" w:type="dxa"/>
            <w:vMerge w:val="continue"/>
            <w:tcBorders>
              <w:top w:val="nil"/>
              <w:left w:val="single" w:color="auto" w:sz="4" w:space="0"/>
              <w:bottom w:val="single" w:color="auto" w:sz="4" w:space="0"/>
              <w:right w:val="single" w:color="auto" w:sz="4" w:space="0"/>
            </w:tcBorders>
            <w:vAlign w:val="center"/>
          </w:tcPr>
          <w:p w14:paraId="79B40242">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6BA4BDA2">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项目成本报表</w:t>
            </w:r>
          </w:p>
        </w:tc>
        <w:tc>
          <w:tcPr>
            <w:tcW w:w="6800" w:type="dxa"/>
            <w:tcBorders>
              <w:top w:val="nil"/>
              <w:left w:val="nil"/>
              <w:bottom w:val="single" w:color="auto" w:sz="4" w:space="0"/>
              <w:right w:val="single" w:color="auto" w:sz="4" w:space="0"/>
            </w:tcBorders>
            <w:shd w:val="clear" w:color="auto" w:fill="auto"/>
            <w:vAlign w:val="center"/>
          </w:tcPr>
          <w:p w14:paraId="56BCCF45">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基于成本当量法完成项目成本核算，通过搭建各科室医疗项目成本当量模型，选取科室内典型医疗服务项目作为代表项目，设置其成本当量数为“1” ，以此项目作为各成本要素的比较标准，与其他项目各成本要素进行比较，进而得到其他项目各自的成本当 量数，再计算出各项目成本，支持向导式操作模式进行全流程项目成本核算。</w:t>
            </w:r>
          </w:p>
        </w:tc>
      </w:tr>
      <w:tr w14:paraId="6D1CB323">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5E1240D4">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0CAB41DD">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病案首页数据对接</w:t>
            </w:r>
          </w:p>
        </w:tc>
        <w:tc>
          <w:tcPr>
            <w:tcW w:w="6800" w:type="dxa"/>
            <w:tcBorders>
              <w:top w:val="nil"/>
              <w:left w:val="nil"/>
              <w:bottom w:val="single" w:color="auto" w:sz="4" w:space="0"/>
              <w:right w:val="single" w:color="auto" w:sz="4" w:space="0"/>
            </w:tcBorders>
            <w:shd w:val="clear" w:color="auto" w:fill="auto"/>
            <w:vAlign w:val="center"/>
          </w:tcPr>
          <w:p w14:paraId="3E7C1389">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满足成本核算发文规范报表格式。实现多维度项目成本分析，包括项目成本收益分析、项目成本构成分析、项目成本对比分析、项目成本比较分析、项目成本收益分析（院级）等。</w:t>
            </w:r>
          </w:p>
        </w:tc>
      </w:tr>
      <w:tr w14:paraId="62392E6B">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74F5CB39">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7E76FF1D">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收费明细数据</w:t>
            </w:r>
          </w:p>
        </w:tc>
        <w:tc>
          <w:tcPr>
            <w:tcW w:w="6800" w:type="dxa"/>
            <w:tcBorders>
              <w:top w:val="nil"/>
              <w:left w:val="nil"/>
              <w:bottom w:val="single" w:color="auto" w:sz="4" w:space="0"/>
              <w:right w:val="single" w:color="auto" w:sz="4" w:space="0"/>
            </w:tcBorders>
            <w:shd w:val="clear" w:color="auto" w:fill="auto"/>
            <w:vAlign w:val="center"/>
          </w:tcPr>
          <w:p w14:paraId="4DFB12AD">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用于维护项目成本核算所需的基础数据，包括核算科室、医疗项目、成本项目类别、成本项目、作业、分摊规则等。</w:t>
            </w:r>
          </w:p>
        </w:tc>
      </w:tr>
      <w:tr w14:paraId="083EDE6E">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2F59C919">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37780D40">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项目叠加法病种成本核算</w:t>
            </w:r>
          </w:p>
        </w:tc>
        <w:tc>
          <w:tcPr>
            <w:tcW w:w="6800" w:type="dxa"/>
            <w:tcBorders>
              <w:top w:val="nil"/>
              <w:left w:val="nil"/>
              <w:bottom w:val="single" w:color="auto" w:sz="4" w:space="0"/>
              <w:right w:val="single" w:color="auto" w:sz="4" w:space="0"/>
            </w:tcBorders>
            <w:shd w:val="clear" w:color="auto" w:fill="auto"/>
            <w:vAlign w:val="center"/>
          </w:tcPr>
          <w:p w14:paraId="51DDA4FE">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用于采集住院病人住院期间的病案数据，包括：病案号、主诊断编码、主操作编码、年龄。住院次数、收费合计、入院科室和住院科室等数据。</w:t>
            </w:r>
          </w:p>
        </w:tc>
      </w:tr>
      <w:tr w14:paraId="2742CA10">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4B4F2AE6">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3B469FC0">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参数分配法成本核算</w:t>
            </w:r>
          </w:p>
        </w:tc>
        <w:tc>
          <w:tcPr>
            <w:tcW w:w="6800" w:type="dxa"/>
            <w:tcBorders>
              <w:top w:val="nil"/>
              <w:left w:val="nil"/>
              <w:bottom w:val="single" w:color="auto" w:sz="4" w:space="0"/>
              <w:right w:val="single" w:color="auto" w:sz="4" w:space="0"/>
            </w:tcBorders>
            <w:shd w:val="clear" w:color="auto" w:fill="auto"/>
            <w:vAlign w:val="center"/>
          </w:tcPr>
          <w:p w14:paraId="7385E1F2">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用于采集住院病人住院期间的收费项目明细数据，包括：病案号、住院次数、开单科室、执行科室、收费类别、收费项目和收费金额等数据。</w:t>
            </w:r>
          </w:p>
        </w:tc>
      </w:tr>
      <w:tr w14:paraId="7B53627F">
        <w:tblPrEx>
          <w:tblCellMar>
            <w:top w:w="0" w:type="dxa"/>
            <w:left w:w="108" w:type="dxa"/>
            <w:bottom w:w="0" w:type="dxa"/>
            <w:right w:w="108" w:type="dxa"/>
          </w:tblCellMar>
        </w:tblPrEx>
        <w:trPr>
          <w:trHeight w:val="878" w:hRule="atLeast"/>
        </w:trPr>
        <w:tc>
          <w:tcPr>
            <w:tcW w:w="1260" w:type="dxa"/>
            <w:vMerge w:val="continue"/>
            <w:tcBorders>
              <w:top w:val="nil"/>
              <w:left w:val="single" w:color="auto" w:sz="4" w:space="0"/>
              <w:bottom w:val="single" w:color="auto" w:sz="4" w:space="0"/>
              <w:right w:val="single" w:color="auto" w:sz="4" w:space="0"/>
            </w:tcBorders>
            <w:vAlign w:val="center"/>
          </w:tcPr>
          <w:p w14:paraId="2AC7BE2D">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4189C03D">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成本收入比法病种核算</w:t>
            </w:r>
          </w:p>
        </w:tc>
        <w:tc>
          <w:tcPr>
            <w:tcW w:w="6800" w:type="dxa"/>
            <w:tcBorders>
              <w:top w:val="nil"/>
              <w:left w:val="nil"/>
              <w:bottom w:val="single" w:color="auto" w:sz="4" w:space="0"/>
              <w:right w:val="single" w:color="auto" w:sz="4" w:space="0"/>
            </w:tcBorders>
            <w:shd w:val="clear" w:color="auto" w:fill="auto"/>
            <w:vAlign w:val="center"/>
          </w:tcPr>
          <w:p w14:paraId="6BF73397">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在完成医疗服务项目成本核算的基础上，以医疗服务项目成本为基础计算病种成本。根据出院患者实际发生的医疗服务项 目成本、药品成本和可单独收费的卫生材料成本进行加总， 得出患者的病种成本。系统提供病种成本核算向导完成全流程病种成本核算。</w:t>
            </w:r>
          </w:p>
        </w:tc>
      </w:tr>
      <w:tr w14:paraId="372B1135">
        <w:tblPrEx>
          <w:tblCellMar>
            <w:top w:w="0" w:type="dxa"/>
            <w:left w:w="108" w:type="dxa"/>
            <w:bottom w:w="0" w:type="dxa"/>
            <w:right w:w="108" w:type="dxa"/>
          </w:tblCellMar>
        </w:tblPrEx>
        <w:trPr>
          <w:trHeight w:val="1185" w:hRule="atLeast"/>
        </w:trPr>
        <w:tc>
          <w:tcPr>
            <w:tcW w:w="1260" w:type="dxa"/>
            <w:vMerge w:val="continue"/>
            <w:tcBorders>
              <w:top w:val="nil"/>
              <w:left w:val="single" w:color="auto" w:sz="4" w:space="0"/>
              <w:bottom w:val="single" w:color="auto" w:sz="4" w:space="0"/>
              <w:right w:val="single" w:color="auto" w:sz="4" w:space="0"/>
            </w:tcBorders>
            <w:vAlign w:val="center"/>
          </w:tcPr>
          <w:p w14:paraId="788E12AC">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5D5422C9">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单病种成本报表</w:t>
            </w:r>
          </w:p>
        </w:tc>
        <w:tc>
          <w:tcPr>
            <w:tcW w:w="6800" w:type="dxa"/>
            <w:tcBorders>
              <w:top w:val="nil"/>
              <w:left w:val="nil"/>
              <w:bottom w:val="single" w:color="auto" w:sz="4" w:space="0"/>
              <w:right w:val="single" w:color="auto" w:sz="4" w:space="0"/>
            </w:tcBorders>
            <w:shd w:val="clear" w:color="auto" w:fill="auto"/>
            <w:vAlign w:val="center"/>
          </w:tcPr>
          <w:p w14:paraId="488A75B3">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以三级分摊后的临床住院科室成本作为计算基础，统计临床住院科室每名患者的药品和单独收费的卫生材料费用，形成每名患者的药耗成本。 将临床住院科室成本剔除所有计入患者的药品和单独收费的卫生材料成本后，采用住院天数、诊疗时间等作为分配参数分摊到每名患者，将同病种患者归为一组，然后计算组内病种总成本和单位成本。系统提供病种成本核算向导完成全流程病种成本核算。</w:t>
            </w:r>
          </w:p>
        </w:tc>
      </w:tr>
      <w:tr w14:paraId="1081707C">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7D2012D4">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0BB55C39">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病案首页数据对接</w:t>
            </w:r>
          </w:p>
        </w:tc>
        <w:tc>
          <w:tcPr>
            <w:tcW w:w="6800" w:type="dxa"/>
            <w:tcBorders>
              <w:top w:val="nil"/>
              <w:left w:val="nil"/>
              <w:bottom w:val="single" w:color="auto" w:sz="4" w:space="0"/>
              <w:right w:val="single" w:color="auto" w:sz="4" w:space="0"/>
            </w:tcBorders>
            <w:shd w:val="clear" w:color="auto" w:fill="auto"/>
            <w:vAlign w:val="center"/>
          </w:tcPr>
          <w:p w14:paraId="24655985">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满足成本核算发文规范报表格式。提供多维度病种成本报表查询功能，包括病种成本汇总表、病种成本明细表、医院病种成本构成明细表和医院服务单元病种成本构成明细。</w:t>
            </w:r>
          </w:p>
        </w:tc>
      </w:tr>
      <w:tr w14:paraId="0448E7E7">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54BDA19C">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218CB659">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收费明细数据</w:t>
            </w:r>
          </w:p>
        </w:tc>
        <w:tc>
          <w:tcPr>
            <w:tcW w:w="6800" w:type="dxa"/>
            <w:tcBorders>
              <w:top w:val="nil"/>
              <w:left w:val="nil"/>
              <w:bottom w:val="single" w:color="auto" w:sz="4" w:space="0"/>
              <w:right w:val="single" w:color="auto" w:sz="4" w:space="0"/>
            </w:tcBorders>
            <w:shd w:val="clear" w:color="auto" w:fill="auto"/>
            <w:vAlign w:val="center"/>
          </w:tcPr>
          <w:p w14:paraId="71A356D6">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可维护病种成本系统运行所需的基础资料，包括病种、主诊断、主操作、收费项目、服务单元、费用类别和服务单元对照关系设置。</w:t>
            </w:r>
          </w:p>
        </w:tc>
      </w:tr>
      <w:tr w14:paraId="1FD2AE73">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06ADEDF9">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371E67F8">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项目叠加法成本核算</w:t>
            </w:r>
          </w:p>
        </w:tc>
        <w:tc>
          <w:tcPr>
            <w:tcW w:w="6800" w:type="dxa"/>
            <w:tcBorders>
              <w:top w:val="nil"/>
              <w:left w:val="nil"/>
              <w:bottom w:val="single" w:color="auto" w:sz="4" w:space="0"/>
              <w:right w:val="single" w:color="auto" w:sz="4" w:space="0"/>
            </w:tcBorders>
            <w:shd w:val="clear" w:color="auto" w:fill="auto"/>
            <w:vAlign w:val="center"/>
          </w:tcPr>
          <w:p w14:paraId="379A1CC6">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用于采集住院病人住院期间的病案数据，包括：病案号、主诊断编码、主操作编码、年龄。住院次数、收费合计、入院科室和住院科室等数据。</w:t>
            </w:r>
          </w:p>
        </w:tc>
      </w:tr>
      <w:tr w14:paraId="2B303320">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14:paraId="17BA51C8">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309A7069">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参数分配法成本核算</w:t>
            </w:r>
          </w:p>
        </w:tc>
        <w:tc>
          <w:tcPr>
            <w:tcW w:w="6800" w:type="dxa"/>
            <w:tcBorders>
              <w:top w:val="nil"/>
              <w:left w:val="nil"/>
              <w:bottom w:val="single" w:color="auto" w:sz="4" w:space="0"/>
              <w:right w:val="single" w:color="auto" w:sz="4" w:space="0"/>
            </w:tcBorders>
            <w:shd w:val="clear" w:color="auto" w:fill="auto"/>
            <w:vAlign w:val="center"/>
          </w:tcPr>
          <w:p w14:paraId="525C4CC0">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用于采集住院病人住院期间的收费项目明细数据，包括：病案号、住院次数、开单科室、执行科室、收费类别、收费项目和收费金额等数据。</w:t>
            </w:r>
          </w:p>
        </w:tc>
      </w:tr>
      <w:tr w14:paraId="31A2AE9D">
        <w:tblPrEx>
          <w:tblCellMar>
            <w:top w:w="0" w:type="dxa"/>
            <w:left w:w="108" w:type="dxa"/>
            <w:bottom w:w="0" w:type="dxa"/>
            <w:right w:w="108" w:type="dxa"/>
          </w:tblCellMar>
        </w:tblPrEx>
        <w:trPr>
          <w:trHeight w:val="765" w:hRule="atLeast"/>
        </w:trPr>
        <w:tc>
          <w:tcPr>
            <w:tcW w:w="1260" w:type="dxa"/>
            <w:vMerge w:val="continue"/>
            <w:tcBorders>
              <w:top w:val="nil"/>
              <w:left w:val="single" w:color="auto" w:sz="4" w:space="0"/>
              <w:bottom w:val="single" w:color="auto" w:sz="4" w:space="0"/>
              <w:right w:val="single" w:color="auto" w:sz="4" w:space="0"/>
            </w:tcBorders>
            <w:vAlign w:val="center"/>
          </w:tcPr>
          <w:p w14:paraId="20E31A12">
            <w:pPr>
              <w:widowControl/>
              <w:jc w:val="left"/>
              <w:rPr>
                <w:rFonts w:ascii="微软雅黑" w:hAnsi="微软雅黑" w:eastAsia="微软雅黑" w:cs="宋体"/>
                <w:b/>
                <w:bCs/>
                <w:color w:val="4874CB"/>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14:paraId="5E453BA8">
            <w:pPr>
              <w:widowControl/>
              <w:jc w:val="center"/>
              <w:rPr>
                <w:rFonts w:hint="eastAsia" w:ascii="微软雅黑" w:hAnsi="微软雅黑" w:eastAsia="微软雅黑" w:cs="宋体"/>
                <w:color w:val="4874CB"/>
                <w:kern w:val="0"/>
                <w:sz w:val="22"/>
                <w:szCs w:val="22"/>
              </w:rPr>
            </w:pPr>
            <w:r>
              <w:rPr>
                <w:rFonts w:hint="eastAsia" w:ascii="微软雅黑" w:hAnsi="微软雅黑" w:eastAsia="微软雅黑" w:cs="宋体"/>
                <w:color w:val="4874CB"/>
                <w:kern w:val="0"/>
                <w:sz w:val="22"/>
                <w:szCs w:val="22"/>
              </w:rPr>
              <w:t>服务单元叠加法成本核算</w:t>
            </w:r>
          </w:p>
        </w:tc>
        <w:tc>
          <w:tcPr>
            <w:tcW w:w="6800" w:type="dxa"/>
            <w:tcBorders>
              <w:top w:val="nil"/>
              <w:left w:val="nil"/>
              <w:bottom w:val="single" w:color="auto" w:sz="4" w:space="0"/>
              <w:right w:val="single" w:color="auto" w:sz="4" w:space="0"/>
            </w:tcBorders>
            <w:shd w:val="clear" w:color="auto" w:fill="auto"/>
            <w:vAlign w:val="center"/>
          </w:tcPr>
          <w:p w14:paraId="20669B15">
            <w:pPr>
              <w:widowControl/>
              <w:jc w:val="left"/>
              <w:rPr>
                <w:rFonts w:hint="eastAsia" w:ascii="新宋体" w:hAnsi="新宋体" w:eastAsia="新宋体" w:cs="宋体"/>
                <w:color w:val="000000"/>
                <w:kern w:val="0"/>
                <w:sz w:val="16"/>
                <w:szCs w:val="16"/>
              </w:rPr>
            </w:pPr>
            <w:r>
              <w:rPr>
                <w:rFonts w:hint="eastAsia" w:ascii="新宋体" w:hAnsi="新宋体" w:eastAsia="新宋体" w:cs="宋体"/>
                <w:color w:val="000000"/>
                <w:kern w:val="0"/>
                <w:sz w:val="16"/>
                <w:szCs w:val="16"/>
              </w:rPr>
              <w:t>在完成医疗服务项目成本核算的基础上，以医疗服务项目成本为基础计算病种成本。根据出院患者实际发生的医疗服务项 目成本、药品成本和可单独收费的卫生材料成本进行加总， 得出患者的病种成本。系统提供病种成本核算向导完成全流程病种成本核算。</w:t>
            </w:r>
          </w:p>
        </w:tc>
      </w:tr>
    </w:tbl>
    <w:p w14:paraId="1DD79056"/>
    <w:sectPr>
      <w:pgSz w:w="11906" w:h="16838"/>
      <w:pgMar w:top="1440" w:right="12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NDIxMDgyMzc0ZDQ1NjA5Y2RiYjgzMDU3ZjZkZGUifQ=="/>
  </w:docVars>
  <w:rsids>
    <w:rsidRoot w:val="009B3DA7"/>
    <w:rsid w:val="000314F2"/>
    <w:rsid w:val="00065F71"/>
    <w:rsid w:val="00086EF3"/>
    <w:rsid w:val="000A7F67"/>
    <w:rsid w:val="000D798B"/>
    <w:rsid w:val="000F08F6"/>
    <w:rsid w:val="00171FAC"/>
    <w:rsid w:val="001B6AFC"/>
    <w:rsid w:val="001E6408"/>
    <w:rsid w:val="001E72CA"/>
    <w:rsid w:val="002B007D"/>
    <w:rsid w:val="00496703"/>
    <w:rsid w:val="00526A06"/>
    <w:rsid w:val="005670EF"/>
    <w:rsid w:val="005824CF"/>
    <w:rsid w:val="00585682"/>
    <w:rsid w:val="00591FDE"/>
    <w:rsid w:val="005C3F99"/>
    <w:rsid w:val="005C7600"/>
    <w:rsid w:val="005D10AB"/>
    <w:rsid w:val="006250AF"/>
    <w:rsid w:val="006656F0"/>
    <w:rsid w:val="00693078"/>
    <w:rsid w:val="00757B65"/>
    <w:rsid w:val="00876844"/>
    <w:rsid w:val="0087757A"/>
    <w:rsid w:val="009014F4"/>
    <w:rsid w:val="00930AA8"/>
    <w:rsid w:val="009B3DA7"/>
    <w:rsid w:val="009D1B3F"/>
    <w:rsid w:val="00A05E7D"/>
    <w:rsid w:val="00B009F1"/>
    <w:rsid w:val="00BD3DFC"/>
    <w:rsid w:val="00C54841"/>
    <w:rsid w:val="00CB64F0"/>
    <w:rsid w:val="00D30FC0"/>
    <w:rsid w:val="00E9184F"/>
    <w:rsid w:val="00EA1D2C"/>
    <w:rsid w:val="00F84D00"/>
    <w:rsid w:val="00FB3827"/>
    <w:rsid w:val="04357D70"/>
    <w:rsid w:val="07281A58"/>
    <w:rsid w:val="1A7D364E"/>
    <w:rsid w:val="1F131099"/>
    <w:rsid w:val="1F5C519A"/>
    <w:rsid w:val="258F7532"/>
    <w:rsid w:val="2BCA4F01"/>
    <w:rsid w:val="2C4402A1"/>
    <w:rsid w:val="2EE315EA"/>
    <w:rsid w:val="2F582A33"/>
    <w:rsid w:val="353807B7"/>
    <w:rsid w:val="37576944"/>
    <w:rsid w:val="40B51640"/>
    <w:rsid w:val="4BD1340B"/>
    <w:rsid w:val="4CEB2121"/>
    <w:rsid w:val="52600F00"/>
    <w:rsid w:val="5335540B"/>
    <w:rsid w:val="5583138D"/>
    <w:rsid w:val="5B0B546D"/>
    <w:rsid w:val="5D77597D"/>
    <w:rsid w:val="61981F79"/>
    <w:rsid w:val="645E38EF"/>
    <w:rsid w:val="64D83F13"/>
    <w:rsid w:val="64E56330"/>
    <w:rsid w:val="6DCA5AF4"/>
    <w:rsid w:val="6E5C4A0D"/>
    <w:rsid w:val="6FBE16E5"/>
    <w:rsid w:val="6FDD4D80"/>
    <w:rsid w:val="75B26A66"/>
    <w:rsid w:val="760D05A5"/>
    <w:rsid w:val="7DAF2B6D"/>
    <w:rsid w:val="7E387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unhideWhenUsed/>
    <w:qFormat/>
    <w:uiPriority w:val="39"/>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8">
    <w:name w:val="标题 1 字符"/>
    <w:basedOn w:val="5"/>
    <w:link w:val="2"/>
    <w:qFormat/>
    <w:uiPriority w:val="9"/>
    <w:rPr>
      <w:b/>
      <w:bCs/>
      <w:kern w:val="44"/>
      <w:sz w:val="44"/>
      <w:szCs w:val="44"/>
    </w:rPr>
  </w:style>
  <w:style w:type="paragraph" w:customStyle="1" w:styleId="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7017-827C-4CEA-A336-06C5F7697BC5}">
  <ds:schemaRefs/>
</ds:datastoreItem>
</file>

<file path=docProps/app.xml><?xml version="1.0" encoding="utf-8"?>
<Properties xmlns="http://schemas.openxmlformats.org/officeDocument/2006/extended-properties" xmlns:vt="http://schemas.openxmlformats.org/officeDocument/2006/docPropsVTypes">
  <Template>Normal</Template>
  <Pages>17</Pages>
  <Words>8254</Words>
  <Characters>8571</Characters>
  <Lines>90</Lines>
  <Paragraphs>25</Paragraphs>
  <TotalTime>53</TotalTime>
  <ScaleCrop>false</ScaleCrop>
  <LinksUpToDate>false</LinksUpToDate>
  <CharactersWithSpaces>8588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2025-12-18T15:14:00Z</dcterms:created>
  <dc:creator>zds</dc:creator>
  <cp:lastModifiedBy>王者归来</cp:lastModifiedBy>
  <cp:lastPrinted>2025-12-17T15:03:00Z</cp:lastPrinted>
  <dcterms:modified xsi:type="dcterms:W3CDTF">2025-12-22T02:15:21Z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eyJoZGlkIjoiN2M1ODNhOTBkNjA2ODNkZmYyZTgyNWRkMzVhNmNjMmQiLCJ1c2VySWQiOiI0MjM0MzIxNjQifQ==</vt:lpwstr>
  </property>
  <property fmtid="{D5CDD505-2E9C-101B-9397-08002B2CF9AE}" pid="3" name="KSOProductBuildVer">
    <vt:lpwstr>2052-12.1.0.24034</vt:lpwstr>
  </property>
  <property fmtid="{D5CDD505-2E9C-101B-9397-08002B2CF9AE}" pid="4" name="ICV">
    <vt:lpwstr>AEC9FE399664439E86FBB40194F656DC_13</vt:lpwstr>
  </property>
</Properties>
</file>