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494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2209" w:firstLineChars="500"/>
        <w:jc w:val="both"/>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富顺县医共体总医院</w:t>
      </w:r>
    </w:p>
    <w:p w14:paraId="701C59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883" w:firstLineChars="200"/>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2025年</w:t>
      </w:r>
      <w:r>
        <w:rPr>
          <w:rFonts w:hint="eastAsia" w:ascii="方正小标宋简体" w:hAnsi="方正小标宋简体" w:eastAsia="方正小标宋简体" w:cs="方正小标宋简体"/>
          <w:b/>
          <w:bCs/>
          <w:color w:val="auto"/>
          <w:kern w:val="44"/>
          <w:sz w:val="44"/>
          <w:szCs w:val="44"/>
          <w:lang w:val="en-US" w:eastAsia="zh-CN" w:bidi="ar"/>
        </w:rPr>
        <w:t>放射从业人员职业健康检查采购项目</w:t>
      </w:r>
      <w:r>
        <w:rPr>
          <w:rFonts w:hint="eastAsia" w:ascii="方正小标宋简体" w:hAnsi="方正小标宋简体" w:eastAsia="方正小标宋简体" w:cs="方正小标宋简体"/>
          <w:b/>
          <w:bCs/>
          <w:color w:val="auto"/>
          <w:sz w:val="44"/>
          <w:szCs w:val="44"/>
          <w:lang w:val="en-US" w:eastAsia="zh-CN"/>
        </w:rPr>
        <w:t>的市场调研公告</w:t>
      </w:r>
    </w:p>
    <w:p w14:paraId="3E5695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根据《中华人民共和国职业病防治法》《放射诊疗管理规定》《放射工作人员健康要求及监护规范》GBZ 98—2020等法规要求，我院拟针对医共体总医院成员单位放射从业人员职业健康检查采购项目开展市场调研，本次供应商遴选周期为</w:t>
      </w:r>
      <w:r>
        <w:rPr>
          <w:rFonts w:hint="eastAsia" w:ascii="仿宋_GB2312" w:hAnsi="仿宋_GB2312" w:eastAsia="仿宋_GB2312" w:cs="仿宋_GB2312"/>
          <w:b w:val="0"/>
          <w:bCs w:val="0"/>
          <w:color w:val="0000FF"/>
          <w:kern w:val="0"/>
          <w:sz w:val="32"/>
          <w:szCs w:val="32"/>
          <w:highlight w:val="none"/>
          <w:u w:val="none"/>
          <w:lang w:val="en-US" w:eastAsia="zh-CN" w:bidi="ar-SA"/>
        </w:rPr>
        <w:t>一年</w:t>
      </w:r>
      <w:r>
        <w:rPr>
          <w:rFonts w:hint="eastAsia" w:ascii="仿宋_GB2312" w:hAnsi="仿宋_GB2312" w:eastAsia="仿宋_GB2312" w:cs="仿宋_GB2312"/>
          <w:b w:val="0"/>
          <w:bCs w:val="0"/>
          <w:kern w:val="0"/>
          <w:sz w:val="32"/>
          <w:szCs w:val="32"/>
          <w:highlight w:val="none"/>
          <w:u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现面向社会进行公示，诚邀符合条件的供应商参与。</w:t>
      </w:r>
    </w:p>
    <w:p w14:paraId="2C51C6F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一、项目相关信息</w:t>
      </w:r>
    </w:p>
    <w:p w14:paraId="1D28BA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auto"/>
          <w:spacing w:val="0"/>
          <w:sz w:val="32"/>
          <w:szCs w:val="32"/>
          <w:u w:val="none"/>
        </w:rPr>
      </w:pPr>
      <w:r>
        <w:rPr>
          <w:rFonts w:hint="eastAsia" w:ascii="楷体" w:hAnsi="楷体" w:eastAsia="楷体" w:cs="楷体"/>
          <w:b w:val="0"/>
          <w:bCs w:val="0"/>
          <w:kern w:val="0"/>
          <w:sz w:val="32"/>
          <w:szCs w:val="32"/>
          <w:highlight w:val="none"/>
          <w:lang w:val="en-US" w:eastAsia="zh-CN" w:bidi="ar-SA"/>
        </w:rPr>
        <w:t>项目名称：</w:t>
      </w:r>
      <w:r>
        <w:rPr>
          <w:rFonts w:hint="eastAsia" w:ascii="仿宋_GB2312" w:hAnsi="仿宋_GB2312" w:eastAsia="仿宋_GB2312" w:cs="仿宋_GB2312"/>
          <w:b w:val="0"/>
          <w:bCs w:val="0"/>
          <w:kern w:val="0"/>
          <w:sz w:val="32"/>
          <w:szCs w:val="32"/>
          <w:highlight w:val="none"/>
          <w:lang w:val="en-US" w:eastAsia="zh-CN" w:bidi="ar-SA"/>
        </w:rPr>
        <w:t>放射从业人员职业健康检查采购项目；</w:t>
      </w:r>
    </w:p>
    <w:p w14:paraId="1D78F8B3">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3" w:firstLineChars="200"/>
        <w:jc w:val="both"/>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二、项目概述</w:t>
      </w:r>
    </w:p>
    <w:p w14:paraId="498FC2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本项目为富顺县医共体总医院放射从业人员职业健康检查采购项目，主要工作内容如下：</w:t>
      </w:r>
    </w:p>
    <w:p w14:paraId="22A4CC28">
      <w:pPr>
        <w:keepNext w:val="0"/>
        <w:keepLines w:val="0"/>
        <w:pageBreakBefore w:val="0"/>
        <w:kinsoku/>
        <w:wordWrap/>
        <w:overflowPunct/>
        <w:topLinePunct w:val="0"/>
        <w:autoSpaceDE/>
        <w:autoSpaceDN/>
        <w:bidi w:val="0"/>
        <w:spacing w:line="560" w:lineRule="exact"/>
        <w:ind w:left="0" w:leftChars="0" w:right="0" w:rightChars="0"/>
        <w:textAlignment w:val="auto"/>
        <w:rPr>
          <w:rFonts w:hint="eastAsia" w:ascii="楷体" w:hAnsi="楷体" w:eastAsia="楷体" w:cs="楷体"/>
          <w:b/>
          <w:bCs/>
          <w:kern w:val="0"/>
          <w:sz w:val="32"/>
          <w:szCs w:val="32"/>
          <w:highlight w:val="none"/>
          <w:lang w:val="en-US" w:eastAsia="zh-CN" w:bidi="ar-SA"/>
        </w:rPr>
      </w:pPr>
      <w:r>
        <w:rPr>
          <w:rFonts w:hint="eastAsia" w:ascii="楷体" w:hAnsi="楷体" w:eastAsia="楷体" w:cs="楷体"/>
          <w:b/>
          <w:bCs/>
          <w:kern w:val="0"/>
          <w:sz w:val="32"/>
          <w:szCs w:val="32"/>
          <w:highlight w:val="none"/>
          <w:lang w:val="en-US" w:eastAsia="zh-CN" w:bidi="ar-SA"/>
        </w:rPr>
        <w:t>（一）放射从业人员职业健康检查报价表</w:t>
      </w:r>
    </w:p>
    <w:p w14:paraId="04971E8C">
      <w:pPr>
        <w:pStyle w:val="3"/>
        <w:ind w:firstLine="640" w:firstLineChars="200"/>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1. 上岗前必检项目：</w:t>
      </w:r>
    </w:p>
    <w:tbl>
      <w:tblPr>
        <w:tblStyle w:val="7"/>
        <w:tblW w:w="8846" w:type="dxa"/>
        <w:jc w:val="center"/>
        <w:tblLayout w:type="autofit"/>
        <w:tblCellMar>
          <w:top w:w="0" w:type="dxa"/>
          <w:left w:w="108" w:type="dxa"/>
          <w:bottom w:w="0" w:type="dxa"/>
          <w:right w:w="108" w:type="dxa"/>
        </w:tblCellMar>
      </w:tblPr>
      <w:tblGrid>
        <w:gridCol w:w="1785"/>
        <w:gridCol w:w="5561"/>
        <w:gridCol w:w="1500"/>
      </w:tblGrid>
      <w:tr w14:paraId="29853F3D">
        <w:tblPrEx>
          <w:tblCellMar>
            <w:top w:w="0" w:type="dxa"/>
            <w:left w:w="108" w:type="dxa"/>
            <w:bottom w:w="0" w:type="dxa"/>
            <w:right w:w="108" w:type="dxa"/>
          </w:tblCellMar>
        </w:tblPrEx>
        <w:trPr>
          <w:trHeight w:val="0" w:hRule="atLeast"/>
          <w:tblHeader/>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7E5611B2">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类别</w:t>
            </w:r>
          </w:p>
        </w:tc>
        <w:tc>
          <w:tcPr>
            <w:tcW w:w="5561" w:type="dxa"/>
            <w:tcBorders>
              <w:top w:val="single" w:color="222222" w:sz="6" w:space="0"/>
              <w:left w:val="single" w:color="222222" w:sz="6" w:space="0"/>
              <w:bottom w:val="single" w:color="222222" w:sz="6" w:space="0"/>
              <w:right w:val="single" w:color="222222" w:sz="6" w:space="0"/>
            </w:tcBorders>
            <w:vAlign w:val="center"/>
          </w:tcPr>
          <w:p w14:paraId="0D4CB275">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必检项目</w:t>
            </w:r>
          </w:p>
        </w:tc>
        <w:tc>
          <w:tcPr>
            <w:tcW w:w="1500" w:type="dxa"/>
            <w:tcBorders>
              <w:top w:val="single" w:color="222222" w:sz="6" w:space="0"/>
              <w:left w:val="single" w:color="222222" w:sz="6" w:space="0"/>
              <w:bottom w:val="single" w:color="222222" w:sz="6" w:space="0"/>
              <w:right w:val="single" w:color="222222" w:sz="6" w:space="0"/>
            </w:tcBorders>
            <w:vAlign w:val="center"/>
          </w:tcPr>
          <w:p w14:paraId="603A9982">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报价</w:t>
            </w:r>
          </w:p>
          <w:p w14:paraId="5DD9FC87">
            <w:pPr>
              <w:snapToGrid w:val="0"/>
              <w:spacing w:line="240" w:lineRule="auto"/>
              <w:ind w:left="0" w:leftChars="0" w:right="0" w:rightChars="0" w:firstLine="0" w:firstLineChars="0"/>
              <w:jc w:val="center"/>
              <w:rPr>
                <w:rFonts w:hint="default"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(元/人/次)</w:t>
            </w:r>
          </w:p>
        </w:tc>
      </w:tr>
      <w:tr w14:paraId="65B755DB">
        <w:tblPrEx>
          <w:tblCellMar>
            <w:top w:w="0" w:type="dxa"/>
            <w:left w:w="108" w:type="dxa"/>
            <w:bottom w:w="0" w:type="dxa"/>
            <w:right w:w="108" w:type="dxa"/>
          </w:tblCellMar>
        </w:tblPrEx>
        <w:trPr>
          <w:trHeight w:val="0" w:hRule="atLeast"/>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7727C8D7">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p>
        </w:tc>
        <w:tc>
          <w:tcPr>
            <w:tcW w:w="5561" w:type="dxa"/>
            <w:tcBorders>
              <w:top w:val="single" w:color="222222" w:sz="6" w:space="0"/>
              <w:left w:val="single" w:color="222222" w:sz="6" w:space="0"/>
              <w:bottom w:val="single" w:color="222222" w:sz="6" w:space="0"/>
              <w:right w:val="single" w:color="222222" w:sz="6" w:space="0"/>
            </w:tcBorders>
            <w:vAlign w:val="center"/>
          </w:tcPr>
          <w:p w14:paraId="64D97A7A">
            <w:pPr>
              <w:snapToGrid w:val="0"/>
              <w:spacing w:line="240" w:lineRule="auto"/>
              <w:ind w:left="0" w:leftChars="0" w:right="0" w:rightChars="0" w:firstLine="0" w:firstLineChars="0"/>
              <w:jc w:val="left"/>
              <w:rPr>
                <w:rFonts w:hint="default" w:ascii="仿宋_GB2312" w:eastAsia="仿宋_GB2312"/>
                <w:sz w:val="24"/>
                <w:szCs w:val="21"/>
                <w:lang w:val="en-US"/>
              </w:rPr>
            </w:pPr>
            <w:r>
              <w:rPr>
                <w:rFonts w:hint="eastAsia" w:ascii="仿宋_GB2312" w:hAnsi="仿宋_GB2312" w:eastAsia="仿宋_GB2312" w:cs="仿宋_GB2312"/>
                <w:b w:val="0"/>
                <w:bCs w:val="0"/>
                <w:kern w:val="0"/>
                <w:sz w:val="24"/>
                <w:szCs w:val="24"/>
                <w:highlight w:val="none"/>
                <w:lang w:val="en-US" w:eastAsia="zh-CN" w:bidi="ar-SA"/>
              </w:rPr>
              <w:t>医学史、职业史调查</w:t>
            </w:r>
          </w:p>
        </w:tc>
        <w:tc>
          <w:tcPr>
            <w:tcW w:w="1500" w:type="dxa"/>
            <w:vMerge w:val="restart"/>
            <w:tcBorders>
              <w:top w:val="single" w:color="222222" w:sz="6" w:space="0"/>
              <w:left w:val="single" w:color="222222" w:sz="6" w:space="0"/>
              <w:right w:val="single" w:color="222222" w:sz="6" w:space="0"/>
            </w:tcBorders>
            <w:vAlign w:val="center"/>
          </w:tcPr>
          <w:p w14:paraId="2B931677">
            <w:pPr>
              <w:snapToGrid w:val="0"/>
              <w:spacing w:line="240" w:lineRule="auto"/>
              <w:ind w:left="0" w:leftChars="0" w:right="0" w:rightChars="0" w:firstLine="0" w:firstLineChars="0"/>
              <w:jc w:val="right"/>
              <w:rPr>
                <w:rFonts w:hint="eastAsia" w:ascii="仿宋_GB2312" w:hAnsi="仿宋_GB2312" w:eastAsia="仿宋_GB2312" w:cs="仿宋_GB2312"/>
                <w:b w:val="0"/>
                <w:bCs w:val="0"/>
                <w:kern w:val="0"/>
                <w:sz w:val="24"/>
                <w:szCs w:val="24"/>
                <w:highlight w:val="none"/>
                <w:lang w:val="en-US" w:eastAsia="zh-CN" w:bidi="ar-SA"/>
              </w:rPr>
            </w:pPr>
          </w:p>
        </w:tc>
      </w:tr>
      <w:tr w14:paraId="6FBA6789">
        <w:tblPrEx>
          <w:tblCellMar>
            <w:top w:w="0" w:type="dxa"/>
            <w:left w:w="108" w:type="dxa"/>
            <w:bottom w:w="0" w:type="dxa"/>
            <w:right w:w="108" w:type="dxa"/>
          </w:tblCellMar>
        </w:tblPrEx>
        <w:trPr>
          <w:trHeight w:val="0" w:hRule="atLeast"/>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1EDB7D52">
            <w:pPr>
              <w:numPr>
                <w:ilvl w:val="0"/>
                <w:numId w:val="0"/>
              </w:num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常规检查</w:t>
            </w:r>
          </w:p>
        </w:tc>
        <w:tc>
          <w:tcPr>
            <w:tcW w:w="5561" w:type="dxa"/>
            <w:tcBorders>
              <w:top w:val="single" w:color="222222" w:sz="6" w:space="0"/>
              <w:left w:val="single" w:color="222222" w:sz="6" w:space="0"/>
              <w:bottom w:val="single" w:color="222222" w:sz="6" w:space="0"/>
              <w:right w:val="single" w:color="222222" w:sz="6" w:space="0"/>
            </w:tcBorders>
            <w:vAlign w:val="center"/>
          </w:tcPr>
          <w:p w14:paraId="21C40832">
            <w:pPr>
              <w:snapToGrid w:val="0"/>
              <w:spacing w:line="240" w:lineRule="auto"/>
              <w:ind w:left="0" w:leftChars="0" w:right="0" w:rightChars="0" w:firstLine="0" w:firstLineChars="0"/>
              <w:jc w:val="left"/>
              <w:rPr>
                <w:rFonts w:hint="eastAsia" w:ascii="仿宋_GB2312" w:eastAsia="仿宋_GB2312"/>
                <w:sz w:val="24"/>
                <w:szCs w:val="21"/>
                <w:lang w:eastAsia="zh-CN"/>
              </w:rPr>
            </w:pPr>
            <w:r>
              <w:rPr>
                <w:rFonts w:hint="eastAsia" w:ascii="仿宋_GB2312" w:hAnsi="仿宋_GB2312" w:eastAsia="仿宋_GB2312" w:cs="仿宋_GB2312"/>
                <w:b w:val="0"/>
                <w:bCs w:val="0"/>
                <w:kern w:val="0"/>
                <w:sz w:val="24"/>
                <w:szCs w:val="24"/>
                <w:highlight w:val="none"/>
                <w:lang w:val="en-US" w:eastAsia="zh-CN" w:bidi="ar-SA"/>
              </w:rPr>
              <w:t>内科、外科、皮肤科常规检查、眼科检查（色觉、视力、晶体裂隙灯检查、玻璃体、眼底）</w:t>
            </w:r>
          </w:p>
        </w:tc>
        <w:tc>
          <w:tcPr>
            <w:tcW w:w="1500" w:type="dxa"/>
            <w:vMerge w:val="continue"/>
            <w:tcBorders>
              <w:left w:val="single" w:color="222222" w:sz="6" w:space="0"/>
              <w:right w:val="single" w:color="222222" w:sz="6" w:space="0"/>
            </w:tcBorders>
            <w:vAlign w:val="center"/>
          </w:tcPr>
          <w:p w14:paraId="757CF2E1">
            <w:pPr>
              <w:snapToGrid w:val="0"/>
              <w:spacing w:line="240" w:lineRule="auto"/>
              <w:ind w:left="0" w:leftChars="0" w:right="0" w:rightChars="0" w:firstLine="0" w:firstLineChars="0"/>
              <w:jc w:val="right"/>
              <w:rPr>
                <w:rFonts w:hint="eastAsia" w:ascii="仿宋_GB2312" w:hAnsi="仿宋_GB2312" w:eastAsia="仿宋_GB2312" w:cs="仿宋_GB2312"/>
                <w:b w:val="0"/>
                <w:bCs w:val="0"/>
                <w:kern w:val="0"/>
                <w:sz w:val="24"/>
                <w:szCs w:val="24"/>
                <w:highlight w:val="none"/>
                <w:lang w:val="en-US" w:eastAsia="zh-CN" w:bidi="ar-SA"/>
              </w:rPr>
            </w:pPr>
          </w:p>
        </w:tc>
      </w:tr>
      <w:tr w14:paraId="2697258F">
        <w:tblPrEx>
          <w:tblCellMar>
            <w:top w:w="0" w:type="dxa"/>
            <w:left w:w="108" w:type="dxa"/>
            <w:bottom w:w="0" w:type="dxa"/>
            <w:right w:w="108" w:type="dxa"/>
          </w:tblCellMar>
        </w:tblPrEx>
        <w:trPr>
          <w:trHeight w:val="0" w:hRule="atLeast"/>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06887412">
            <w:pPr>
              <w:numPr>
                <w:ilvl w:val="0"/>
                <w:numId w:val="0"/>
              </w:num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实验室检查</w:t>
            </w:r>
          </w:p>
        </w:tc>
        <w:tc>
          <w:tcPr>
            <w:tcW w:w="5561" w:type="dxa"/>
            <w:tcBorders>
              <w:top w:val="single" w:color="222222" w:sz="6" w:space="0"/>
              <w:left w:val="single" w:color="222222" w:sz="6" w:space="0"/>
              <w:bottom w:val="single" w:color="222222" w:sz="6" w:space="0"/>
              <w:right w:val="single" w:color="222222" w:sz="6" w:space="0"/>
            </w:tcBorders>
            <w:vAlign w:val="center"/>
          </w:tcPr>
          <w:p w14:paraId="5F8DF3C6">
            <w:pPr>
              <w:snapToGrid w:val="0"/>
              <w:spacing w:line="240" w:lineRule="auto"/>
              <w:ind w:left="0" w:leftChars="0" w:right="0" w:rightChars="0" w:firstLine="0" w:firstLineChars="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血常规和白细胞分类、尿常规、肝功能、肾功能</w:t>
            </w:r>
          </w:p>
        </w:tc>
        <w:tc>
          <w:tcPr>
            <w:tcW w:w="1500" w:type="dxa"/>
            <w:vMerge w:val="continue"/>
            <w:tcBorders>
              <w:left w:val="single" w:color="222222" w:sz="6" w:space="0"/>
              <w:right w:val="single" w:color="222222" w:sz="6" w:space="0"/>
            </w:tcBorders>
            <w:vAlign w:val="center"/>
          </w:tcPr>
          <w:p w14:paraId="364C5870">
            <w:pPr>
              <w:snapToGrid w:val="0"/>
              <w:spacing w:line="240" w:lineRule="auto"/>
              <w:ind w:left="0" w:leftChars="0" w:right="0" w:rightChars="0" w:firstLine="0" w:firstLineChars="0"/>
              <w:jc w:val="right"/>
              <w:rPr>
                <w:rFonts w:hint="eastAsia" w:ascii="仿宋_GB2312" w:hAnsi="仿宋_GB2312" w:eastAsia="仿宋_GB2312" w:cs="仿宋_GB2312"/>
                <w:b w:val="0"/>
                <w:bCs w:val="0"/>
                <w:kern w:val="0"/>
                <w:sz w:val="24"/>
                <w:szCs w:val="24"/>
                <w:highlight w:val="none"/>
                <w:lang w:val="en-US" w:eastAsia="zh-CN" w:bidi="ar-SA"/>
              </w:rPr>
            </w:pPr>
          </w:p>
        </w:tc>
      </w:tr>
      <w:tr w14:paraId="3AD7A023">
        <w:tblPrEx>
          <w:tblCellMar>
            <w:top w:w="0" w:type="dxa"/>
            <w:left w:w="108" w:type="dxa"/>
            <w:bottom w:w="0" w:type="dxa"/>
            <w:right w:w="108" w:type="dxa"/>
          </w:tblCellMar>
        </w:tblPrEx>
        <w:trPr>
          <w:trHeight w:val="0" w:hRule="atLeast"/>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2664AFC5">
            <w:pPr>
              <w:numPr>
                <w:ilvl w:val="0"/>
                <w:numId w:val="0"/>
              </w:num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特殊检查</w:t>
            </w:r>
          </w:p>
        </w:tc>
        <w:tc>
          <w:tcPr>
            <w:tcW w:w="5561" w:type="dxa"/>
            <w:tcBorders>
              <w:top w:val="single" w:color="222222" w:sz="6" w:space="0"/>
              <w:left w:val="single" w:color="222222" w:sz="6" w:space="0"/>
              <w:bottom w:val="single" w:color="222222" w:sz="6" w:space="0"/>
              <w:right w:val="single" w:color="222222" w:sz="6" w:space="0"/>
            </w:tcBorders>
            <w:vAlign w:val="center"/>
          </w:tcPr>
          <w:p w14:paraId="2FEA3E68">
            <w:pPr>
              <w:snapToGrid w:val="0"/>
              <w:spacing w:line="240" w:lineRule="auto"/>
              <w:ind w:left="0" w:leftChars="0" w:right="0" w:rightChars="0" w:firstLine="0" w:firstLineChars="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外周血管淋巴细胞染色体畸形分析、胸部X线检查（在留取细胞遗传学检查所需血样后）、心电图、腹部B超</w:t>
            </w:r>
          </w:p>
        </w:tc>
        <w:tc>
          <w:tcPr>
            <w:tcW w:w="1500" w:type="dxa"/>
            <w:vMerge w:val="continue"/>
            <w:tcBorders>
              <w:left w:val="single" w:color="222222" w:sz="6" w:space="0"/>
              <w:right w:val="single" w:color="222222" w:sz="6" w:space="0"/>
            </w:tcBorders>
            <w:vAlign w:val="center"/>
          </w:tcPr>
          <w:p w14:paraId="6A803330">
            <w:pPr>
              <w:snapToGrid w:val="0"/>
              <w:spacing w:line="240" w:lineRule="auto"/>
              <w:ind w:left="0" w:leftChars="0" w:right="0" w:rightChars="0" w:firstLine="0" w:firstLineChars="0"/>
              <w:jc w:val="right"/>
              <w:rPr>
                <w:rFonts w:hint="eastAsia" w:ascii="仿宋_GB2312" w:hAnsi="仿宋_GB2312" w:eastAsia="仿宋_GB2312" w:cs="仿宋_GB2312"/>
                <w:b w:val="0"/>
                <w:bCs w:val="0"/>
                <w:kern w:val="0"/>
                <w:sz w:val="24"/>
                <w:szCs w:val="24"/>
                <w:highlight w:val="none"/>
                <w:lang w:val="en-US" w:eastAsia="zh-CN" w:bidi="ar-SA"/>
              </w:rPr>
            </w:pPr>
          </w:p>
        </w:tc>
      </w:tr>
      <w:tr w14:paraId="64890497">
        <w:tblPrEx>
          <w:tblCellMar>
            <w:top w:w="0" w:type="dxa"/>
            <w:left w:w="108" w:type="dxa"/>
            <w:bottom w:w="0" w:type="dxa"/>
            <w:right w:w="108" w:type="dxa"/>
          </w:tblCellMar>
        </w:tblPrEx>
        <w:trPr>
          <w:trHeight w:val="0" w:hRule="atLeast"/>
          <w:jc w:val="center"/>
        </w:trPr>
        <w:tc>
          <w:tcPr>
            <w:tcW w:w="1785" w:type="dxa"/>
            <w:tcBorders>
              <w:top w:val="single" w:color="222222" w:sz="6" w:space="0"/>
              <w:left w:val="single" w:color="222222" w:sz="6" w:space="0"/>
              <w:bottom w:val="single" w:color="222222" w:sz="6" w:space="0"/>
              <w:right w:val="single" w:color="222222" w:sz="6" w:space="0"/>
            </w:tcBorders>
            <w:vAlign w:val="center"/>
          </w:tcPr>
          <w:p w14:paraId="6F9665B2">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放射专项</w:t>
            </w:r>
          </w:p>
        </w:tc>
        <w:tc>
          <w:tcPr>
            <w:tcW w:w="5561" w:type="dxa"/>
            <w:tcBorders>
              <w:top w:val="single" w:color="222222" w:sz="6" w:space="0"/>
              <w:left w:val="single" w:color="222222" w:sz="6" w:space="0"/>
              <w:bottom w:val="single" w:color="222222" w:sz="6" w:space="0"/>
              <w:right w:val="single" w:color="222222" w:sz="6" w:space="0"/>
            </w:tcBorders>
            <w:vAlign w:val="center"/>
          </w:tcPr>
          <w:p w14:paraId="7958387F">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放射生物剂量估算（应急照射后）、心肺功能检查</w:t>
            </w:r>
          </w:p>
        </w:tc>
        <w:tc>
          <w:tcPr>
            <w:tcW w:w="1500" w:type="dxa"/>
            <w:vMerge w:val="continue"/>
            <w:tcBorders>
              <w:left w:val="single" w:color="222222" w:sz="6" w:space="0"/>
              <w:bottom w:val="single" w:color="222222" w:sz="6" w:space="0"/>
              <w:right w:val="single" w:color="222222" w:sz="6" w:space="0"/>
            </w:tcBorders>
            <w:vAlign w:val="center"/>
          </w:tcPr>
          <w:p w14:paraId="1C5F9DE2">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p>
        </w:tc>
      </w:tr>
    </w:tbl>
    <w:p w14:paraId="4C37ACCE">
      <w:pPr>
        <w:pStyle w:val="3"/>
        <w:ind w:firstLine="640" w:firstLineChars="200"/>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2.在岗期间必检项目</w:t>
      </w:r>
    </w:p>
    <w:tbl>
      <w:tblPr>
        <w:tblStyle w:val="7"/>
        <w:tblW w:w="8664" w:type="dxa"/>
        <w:jc w:val="center"/>
        <w:tblLayout w:type="autofit"/>
        <w:tblCellMar>
          <w:top w:w="0" w:type="dxa"/>
          <w:left w:w="108" w:type="dxa"/>
          <w:bottom w:w="0" w:type="dxa"/>
          <w:right w:w="108" w:type="dxa"/>
        </w:tblCellMar>
      </w:tblPr>
      <w:tblGrid>
        <w:gridCol w:w="1584"/>
        <w:gridCol w:w="5565"/>
        <w:gridCol w:w="1515"/>
      </w:tblGrid>
      <w:tr w14:paraId="30ADF4D7">
        <w:tblPrEx>
          <w:tblCellMar>
            <w:top w:w="0" w:type="dxa"/>
            <w:left w:w="108" w:type="dxa"/>
            <w:bottom w:w="0" w:type="dxa"/>
            <w:right w:w="108" w:type="dxa"/>
          </w:tblCellMar>
        </w:tblPrEx>
        <w:trPr>
          <w:trHeight w:val="0" w:hRule="atLeast"/>
          <w:tblHeader/>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35ABA30C">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类别</w:t>
            </w:r>
          </w:p>
        </w:tc>
        <w:tc>
          <w:tcPr>
            <w:tcW w:w="5565" w:type="dxa"/>
            <w:tcBorders>
              <w:top w:val="single" w:color="222222" w:sz="6" w:space="0"/>
              <w:left w:val="single" w:color="222222" w:sz="6" w:space="0"/>
              <w:bottom w:val="single" w:color="222222" w:sz="6" w:space="0"/>
              <w:right w:val="single" w:color="222222" w:sz="6" w:space="0"/>
            </w:tcBorders>
            <w:vAlign w:val="center"/>
          </w:tcPr>
          <w:p w14:paraId="069DDA44">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必检项目</w:t>
            </w:r>
          </w:p>
        </w:tc>
        <w:tc>
          <w:tcPr>
            <w:tcW w:w="1515" w:type="dxa"/>
            <w:tcBorders>
              <w:top w:val="single" w:color="222222" w:sz="6" w:space="0"/>
              <w:left w:val="single" w:color="222222" w:sz="6" w:space="0"/>
              <w:bottom w:val="single" w:color="222222" w:sz="6" w:space="0"/>
              <w:right w:val="single" w:color="222222" w:sz="6" w:space="0"/>
            </w:tcBorders>
            <w:vAlign w:val="center"/>
          </w:tcPr>
          <w:p w14:paraId="5F342300">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报价</w:t>
            </w:r>
          </w:p>
          <w:p w14:paraId="76CC4264">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(元/人/次)</w:t>
            </w:r>
          </w:p>
        </w:tc>
      </w:tr>
      <w:tr w14:paraId="16E31523">
        <w:tblPrEx>
          <w:tblCellMar>
            <w:top w:w="0" w:type="dxa"/>
            <w:left w:w="108" w:type="dxa"/>
            <w:bottom w:w="0" w:type="dxa"/>
            <w:right w:w="108" w:type="dxa"/>
          </w:tblCellMar>
        </w:tblPrEx>
        <w:trPr>
          <w:trHeight w:val="0" w:hRule="atLeast"/>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2C9BF636">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p>
        </w:tc>
        <w:tc>
          <w:tcPr>
            <w:tcW w:w="5565" w:type="dxa"/>
            <w:tcBorders>
              <w:top w:val="single" w:color="222222" w:sz="6" w:space="0"/>
              <w:left w:val="single" w:color="222222" w:sz="6" w:space="0"/>
              <w:bottom w:val="single" w:color="222222" w:sz="6" w:space="0"/>
              <w:right w:val="single" w:color="222222" w:sz="6" w:space="0"/>
            </w:tcBorders>
            <w:vAlign w:val="center"/>
          </w:tcPr>
          <w:p w14:paraId="5FA2765C">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医学史、职业史调查</w:t>
            </w:r>
          </w:p>
        </w:tc>
        <w:tc>
          <w:tcPr>
            <w:tcW w:w="1515" w:type="dxa"/>
            <w:vMerge w:val="restart"/>
            <w:tcBorders>
              <w:top w:val="single" w:color="222222" w:sz="6" w:space="0"/>
              <w:left w:val="single" w:color="222222" w:sz="6" w:space="0"/>
              <w:right w:val="single" w:color="222222" w:sz="6" w:space="0"/>
            </w:tcBorders>
            <w:vAlign w:val="center"/>
          </w:tcPr>
          <w:p w14:paraId="5DD21FF5">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4FE5F356">
        <w:tblPrEx>
          <w:tblCellMar>
            <w:top w:w="0" w:type="dxa"/>
            <w:left w:w="108" w:type="dxa"/>
            <w:bottom w:w="0" w:type="dxa"/>
            <w:right w:w="108" w:type="dxa"/>
          </w:tblCellMar>
        </w:tblPrEx>
        <w:trPr>
          <w:trHeight w:val="0" w:hRule="atLeast"/>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136E682A">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常规检查</w:t>
            </w:r>
          </w:p>
        </w:tc>
        <w:tc>
          <w:tcPr>
            <w:tcW w:w="5565" w:type="dxa"/>
            <w:tcBorders>
              <w:top w:val="single" w:color="222222" w:sz="6" w:space="0"/>
              <w:left w:val="single" w:color="222222" w:sz="6" w:space="0"/>
              <w:bottom w:val="single" w:color="222222" w:sz="6" w:space="0"/>
              <w:right w:val="single" w:color="222222" w:sz="6" w:space="0"/>
            </w:tcBorders>
            <w:vAlign w:val="center"/>
          </w:tcPr>
          <w:p w14:paraId="23ADBEB2">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内科、外科、皮肤科常规检查、眼科检查（色觉、视力、晶体裂隙灯检查、玻璃体、眼底）</w:t>
            </w:r>
          </w:p>
        </w:tc>
        <w:tc>
          <w:tcPr>
            <w:tcW w:w="1515" w:type="dxa"/>
            <w:vMerge w:val="continue"/>
            <w:tcBorders>
              <w:left w:val="single" w:color="222222" w:sz="6" w:space="0"/>
              <w:right w:val="single" w:color="222222" w:sz="6" w:space="0"/>
            </w:tcBorders>
            <w:vAlign w:val="center"/>
          </w:tcPr>
          <w:p w14:paraId="407A60C9">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0FEDF83F">
        <w:tblPrEx>
          <w:tblCellMar>
            <w:top w:w="0" w:type="dxa"/>
            <w:left w:w="108" w:type="dxa"/>
            <w:bottom w:w="0" w:type="dxa"/>
            <w:right w:w="108" w:type="dxa"/>
          </w:tblCellMar>
        </w:tblPrEx>
        <w:trPr>
          <w:trHeight w:val="0" w:hRule="atLeast"/>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151B8616">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实验室检查</w:t>
            </w:r>
          </w:p>
        </w:tc>
        <w:tc>
          <w:tcPr>
            <w:tcW w:w="5565" w:type="dxa"/>
            <w:tcBorders>
              <w:top w:val="single" w:color="222222" w:sz="6" w:space="0"/>
              <w:left w:val="single" w:color="222222" w:sz="6" w:space="0"/>
              <w:bottom w:val="single" w:color="222222" w:sz="6" w:space="0"/>
              <w:right w:val="single" w:color="222222" w:sz="6" w:space="0"/>
            </w:tcBorders>
            <w:vAlign w:val="center"/>
          </w:tcPr>
          <w:p w14:paraId="656F467C">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血常规和白细胞分类、尿常规、肝功能、肾功能</w:t>
            </w:r>
          </w:p>
        </w:tc>
        <w:tc>
          <w:tcPr>
            <w:tcW w:w="1515" w:type="dxa"/>
            <w:vMerge w:val="continue"/>
            <w:tcBorders>
              <w:left w:val="single" w:color="222222" w:sz="6" w:space="0"/>
              <w:right w:val="single" w:color="222222" w:sz="6" w:space="0"/>
            </w:tcBorders>
            <w:vAlign w:val="center"/>
          </w:tcPr>
          <w:p w14:paraId="0388FB3B">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5F88A5E7">
        <w:tblPrEx>
          <w:tblCellMar>
            <w:top w:w="0" w:type="dxa"/>
            <w:left w:w="108" w:type="dxa"/>
            <w:bottom w:w="0" w:type="dxa"/>
            <w:right w:w="108" w:type="dxa"/>
          </w:tblCellMar>
        </w:tblPrEx>
        <w:trPr>
          <w:trHeight w:val="0" w:hRule="atLeast"/>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20FA2F4E">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特殊检查</w:t>
            </w:r>
          </w:p>
        </w:tc>
        <w:tc>
          <w:tcPr>
            <w:tcW w:w="5565" w:type="dxa"/>
            <w:tcBorders>
              <w:top w:val="single" w:color="222222" w:sz="6" w:space="0"/>
              <w:left w:val="single" w:color="222222" w:sz="6" w:space="0"/>
              <w:bottom w:val="single" w:color="222222" w:sz="6" w:space="0"/>
              <w:right w:val="single" w:color="222222" w:sz="6" w:space="0"/>
            </w:tcBorders>
            <w:vAlign w:val="center"/>
          </w:tcPr>
          <w:p w14:paraId="54C1AB11">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外周血淋巴细胞微核试验、胸部X线检查（在留取细胞遗传学检查所需血样后）</w:t>
            </w:r>
            <w:r>
              <w:rPr>
                <w:rFonts w:hint="eastAsia" w:ascii="仿宋_GB2312" w:hAnsi="仿宋_GB2312" w:eastAsia="仿宋_GB2312" w:cs="仿宋_GB2312"/>
                <w:b w:val="0"/>
                <w:bCs w:val="0"/>
                <w:color w:val="auto"/>
                <w:kern w:val="0"/>
                <w:sz w:val="24"/>
                <w:szCs w:val="24"/>
                <w:highlight w:val="none"/>
                <w:lang w:val="en-US" w:eastAsia="zh-CN" w:bidi="ar-SA"/>
              </w:rPr>
              <w:t>、心电图、腹部B超、甲状腺功能</w:t>
            </w:r>
          </w:p>
        </w:tc>
        <w:tc>
          <w:tcPr>
            <w:tcW w:w="1515" w:type="dxa"/>
            <w:vMerge w:val="continue"/>
            <w:tcBorders>
              <w:left w:val="single" w:color="222222" w:sz="6" w:space="0"/>
              <w:right w:val="single" w:color="222222" w:sz="6" w:space="0"/>
            </w:tcBorders>
            <w:vAlign w:val="center"/>
          </w:tcPr>
          <w:p w14:paraId="5384EDB0">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1F298C0C">
        <w:tblPrEx>
          <w:tblCellMar>
            <w:top w:w="0" w:type="dxa"/>
            <w:left w:w="108" w:type="dxa"/>
            <w:bottom w:w="0" w:type="dxa"/>
            <w:right w:w="108" w:type="dxa"/>
          </w:tblCellMar>
        </w:tblPrEx>
        <w:trPr>
          <w:trHeight w:val="0" w:hRule="atLeast"/>
          <w:jc w:val="center"/>
        </w:trPr>
        <w:tc>
          <w:tcPr>
            <w:tcW w:w="1584" w:type="dxa"/>
            <w:tcBorders>
              <w:top w:val="single" w:color="222222" w:sz="6" w:space="0"/>
              <w:left w:val="single" w:color="222222" w:sz="6" w:space="0"/>
              <w:bottom w:val="single" w:color="222222" w:sz="6" w:space="0"/>
              <w:right w:val="single" w:color="222222" w:sz="6" w:space="0"/>
            </w:tcBorders>
            <w:vAlign w:val="center"/>
          </w:tcPr>
          <w:p w14:paraId="1CF729E0">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放射专项</w:t>
            </w:r>
          </w:p>
        </w:tc>
        <w:tc>
          <w:tcPr>
            <w:tcW w:w="5565" w:type="dxa"/>
            <w:tcBorders>
              <w:top w:val="single" w:color="222222" w:sz="6" w:space="0"/>
              <w:left w:val="single" w:color="222222" w:sz="6" w:space="0"/>
              <w:bottom w:val="single" w:color="222222" w:sz="6" w:space="0"/>
              <w:right w:val="single" w:color="222222" w:sz="6" w:space="0"/>
            </w:tcBorders>
            <w:vAlign w:val="center"/>
          </w:tcPr>
          <w:p w14:paraId="5D1563A3">
            <w:pPr>
              <w:keepNext w:val="0"/>
              <w:keepLines w:val="0"/>
              <w:widowControl/>
              <w:suppressLineNumbers w:val="0"/>
              <w:snapToGrid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放射生物剂量估算（应急照射后）、心肺功能检查</w:t>
            </w:r>
            <w:r>
              <w:rPr>
                <w:rFonts w:hint="eastAsia" w:ascii="宋体" w:hAnsi="宋体" w:eastAsia="宋体" w:cs="宋体"/>
                <w:color w:val="000000"/>
                <w:kern w:val="0"/>
                <w:sz w:val="18"/>
                <w:szCs w:val="18"/>
                <w:lang w:val="en-US" w:eastAsia="zh-CN" w:bidi="ar"/>
              </w:rPr>
              <w:t xml:space="preserve"> </w:t>
            </w:r>
          </w:p>
        </w:tc>
        <w:tc>
          <w:tcPr>
            <w:tcW w:w="1515" w:type="dxa"/>
            <w:vMerge w:val="continue"/>
            <w:tcBorders>
              <w:left w:val="single" w:color="222222" w:sz="6" w:space="0"/>
              <w:bottom w:val="single" w:color="222222" w:sz="6" w:space="0"/>
              <w:right w:val="single" w:color="222222" w:sz="6" w:space="0"/>
            </w:tcBorders>
            <w:vAlign w:val="center"/>
          </w:tcPr>
          <w:p w14:paraId="3EAE60CF">
            <w:pPr>
              <w:keepNext w:val="0"/>
              <w:keepLines w:val="0"/>
              <w:widowControl/>
              <w:suppressLineNumbers w:val="0"/>
              <w:snapToGrid w:val="0"/>
              <w:jc w:val="left"/>
              <w:rPr>
                <w:rFonts w:hint="eastAsia" w:ascii="仿宋_GB2312" w:hAnsi="仿宋_GB2312" w:eastAsia="仿宋_GB2312" w:cs="仿宋_GB2312"/>
                <w:b w:val="0"/>
                <w:bCs w:val="0"/>
                <w:kern w:val="0"/>
                <w:sz w:val="24"/>
                <w:szCs w:val="24"/>
                <w:highlight w:val="none"/>
                <w:lang w:val="en-US" w:eastAsia="zh-CN" w:bidi="ar-SA"/>
              </w:rPr>
            </w:pPr>
          </w:p>
        </w:tc>
      </w:tr>
    </w:tbl>
    <w:p w14:paraId="5CF92A2C">
      <w:pPr>
        <w:pStyle w:val="3"/>
        <w:ind w:firstLine="640" w:firstLineChars="200"/>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3.离岗时必检项目</w:t>
      </w:r>
    </w:p>
    <w:tbl>
      <w:tblPr>
        <w:tblStyle w:val="7"/>
        <w:tblW w:w="8612" w:type="dxa"/>
        <w:jc w:val="center"/>
        <w:tblLayout w:type="autofit"/>
        <w:tblCellMar>
          <w:top w:w="0" w:type="dxa"/>
          <w:left w:w="108" w:type="dxa"/>
          <w:bottom w:w="0" w:type="dxa"/>
          <w:right w:w="108" w:type="dxa"/>
        </w:tblCellMar>
      </w:tblPr>
      <w:tblGrid>
        <w:gridCol w:w="1553"/>
        <w:gridCol w:w="5606"/>
        <w:gridCol w:w="1453"/>
      </w:tblGrid>
      <w:tr w14:paraId="2AEA463B">
        <w:tblPrEx>
          <w:tblCellMar>
            <w:top w:w="0" w:type="dxa"/>
            <w:left w:w="108" w:type="dxa"/>
            <w:bottom w:w="0" w:type="dxa"/>
            <w:right w:w="108" w:type="dxa"/>
          </w:tblCellMar>
        </w:tblPrEx>
        <w:trPr>
          <w:trHeight w:val="0" w:hRule="atLeast"/>
          <w:tblHeader/>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7329E3AA">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类别</w:t>
            </w:r>
          </w:p>
        </w:tc>
        <w:tc>
          <w:tcPr>
            <w:tcW w:w="5606" w:type="dxa"/>
            <w:tcBorders>
              <w:top w:val="single" w:color="222222" w:sz="6" w:space="0"/>
              <w:left w:val="single" w:color="222222" w:sz="6" w:space="0"/>
              <w:bottom w:val="single" w:color="222222" w:sz="6" w:space="0"/>
              <w:right w:val="single" w:color="222222" w:sz="6" w:space="0"/>
            </w:tcBorders>
            <w:vAlign w:val="center"/>
          </w:tcPr>
          <w:p w14:paraId="7B7CEB22">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必检项目</w:t>
            </w:r>
          </w:p>
        </w:tc>
        <w:tc>
          <w:tcPr>
            <w:tcW w:w="1453" w:type="dxa"/>
            <w:tcBorders>
              <w:top w:val="single" w:color="222222" w:sz="6" w:space="0"/>
              <w:left w:val="single" w:color="222222" w:sz="6" w:space="0"/>
              <w:bottom w:val="single" w:color="222222" w:sz="6" w:space="0"/>
              <w:right w:val="single" w:color="222222" w:sz="6" w:space="0"/>
            </w:tcBorders>
            <w:vAlign w:val="center"/>
          </w:tcPr>
          <w:p w14:paraId="004A7740">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报价</w:t>
            </w:r>
          </w:p>
          <w:p w14:paraId="266BA120">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(元/人/次)</w:t>
            </w:r>
          </w:p>
        </w:tc>
      </w:tr>
      <w:tr w14:paraId="4EF76B46">
        <w:tblPrEx>
          <w:tblCellMar>
            <w:top w:w="0" w:type="dxa"/>
            <w:left w:w="108" w:type="dxa"/>
            <w:bottom w:w="0" w:type="dxa"/>
            <w:right w:w="108" w:type="dxa"/>
          </w:tblCellMar>
        </w:tblPrEx>
        <w:trPr>
          <w:trHeight w:val="0" w:hRule="atLeast"/>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30AD9861">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p>
        </w:tc>
        <w:tc>
          <w:tcPr>
            <w:tcW w:w="5606" w:type="dxa"/>
            <w:tcBorders>
              <w:top w:val="single" w:color="222222" w:sz="6" w:space="0"/>
              <w:left w:val="single" w:color="222222" w:sz="6" w:space="0"/>
              <w:bottom w:val="single" w:color="222222" w:sz="6" w:space="0"/>
              <w:right w:val="single" w:color="222222" w:sz="6" w:space="0"/>
            </w:tcBorders>
            <w:vAlign w:val="center"/>
          </w:tcPr>
          <w:p w14:paraId="1C07B80B">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医学史、职业史调查</w:t>
            </w:r>
          </w:p>
        </w:tc>
        <w:tc>
          <w:tcPr>
            <w:tcW w:w="1453" w:type="dxa"/>
            <w:vMerge w:val="restart"/>
            <w:tcBorders>
              <w:top w:val="single" w:color="222222" w:sz="6" w:space="0"/>
              <w:left w:val="single" w:color="222222" w:sz="6" w:space="0"/>
              <w:right w:val="single" w:color="222222" w:sz="6" w:space="0"/>
            </w:tcBorders>
            <w:vAlign w:val="center"/>
          </w:tcPr>
          <w:p w14:paraId="7CF3494D">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79D8AA1B">
        <w:tblPrEx>
          <w:tblCellMar>
            <w:top w:w="0" w:type="dxa"/>
            <w:left w:w="108" w:type="dxa"/>
            <w:bottom w:w="0" w:type="dxa"/>
            <w:right w:w="108" w:type="dxa"/>
          </w:tblCellMar>
        </w:tblPrEx>
        <w:trPr>
          <w:trHeight w:val="0" w:hRule="atLeast"/>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643B0B8C">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常规检查</w:t>
            </w:r>
          </w:p>
        </w:tc>
        <w:tc>
          <w:tcPr>
            <w:tcW w:w="5606" w:type="dxa"/>
            <w:tcBorders>
              <w:top w:val="single" w:color="222222" w:sz="6" w:space="0"/>
              <w:left w:val="single" w:color="222222" w:sz="6" w:space="0"/>
              <w:bottom w:val="single" w:color="222222" w:sz="6" w:space="0"/>
              <w:right w:val="single" w:color="222222" w:sz="6" w:space="0"/>
            </w:tcBorders>
            <w:vAlign w:val="center"/>
          </w:tcPr>
          <w:p w14:paraId="0E2D5B0D">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内科、外科、皮肤科常规检查、眼科检查（色觉、视力、晶体裂隙灯检查、玻璃体、眼底）</w:t>
            </w:r>
          </w:p>
        </w:tc>
        <w:tc>
          <w:tcPr>
            <w:tcW w:w="1453" w:type="dxa"/>
            <w:vMerge w:val="continue"/>
            <w:tcBorders>
              <w:left w:val="single" w:color="222222" w:sz="6" w:space="0"/>
              <w:right w:val="single" w:color="222222" w:sz="6" w:space="0"/>
            </w:tcBorders>
            <w:vAlign w:val="center"/>
          </w:tcPr>
          <w:p w14:paraId="494B7C0C">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5EF328C5">
        <w:tblPrEx>
          <w:tblCellMar>
            <w:top w:w="0" w:type="dxa"/>
            <w:left w:w="108" w:type="dxa"/>
            <w:bottom w:w="0" w:type="dxa"/>
            <w:right w:w="108" w:type="dxa"/>
          </w:tblCellMar>
        </w:tblPrEx>
        <w:trPr>
          <w:trHeight w:val="0" w:hRule="atLeast"/>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0D4AD0FA">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实验室检查</w:t>
            </w:r>
          </w:p>
        </w:tc>
        <w:tc>
          <w:tcPr>
            <w:tcW w:w="5606" w:type="dxa"/>
            <w:tcBorders>
              <w:top w:val="single" w:color="222222" w:sz="6" w:space="0"/>
              <w:left w:val="single" w:color="222222" w:sz="6" w:space="0"/>
              <w:bottom w:val="single" w:color="222222" w:sz="6" w:space="0"/>
              <w:right w:val="single" w:color="222222" w:sz="6" w:space="0"/>
            </w:tcBorders>
            <w:vAlign w:val="center"/>
          </w:tcPr>
          <w:p w14:paraId="649F7006">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血常规和白细胞分类、尿常规、肝功能、肾功能</w:t>
            </w:r>
          </w:p>
        </w:tc>
        <w:tc>
          <w:tcPr>
            <w:tcW w:w="1453" w:type="dxa"/>
            <w:vMerge w:val="continue"/>
            <w:tcBorders>
              <w:left w:val="single" w:color="222222" w:sz="6" w:space="0"/>
              <w:right w:val="single" w:color="222222" w:sz="6" w:space="0"/>
            </w:tcBorders>
            <w:vAlign w:val="center"/>
          </w:tcPr>
          <w:p w14:paraId="1EA69DA8">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549CC36D">
        <w:tblPrEx>
          <w:tblCellMar>
            <w:top w:w="0" w:type="dxa"/>
            <w:left w:w="108" w:type="dxa"/>
            <w:bottom w:w="0" w:type="dxa"/>
            <w:right w:w="108" w:type="dxa"/>
          </w:tblCellMar>
        </w:tblPrEx>
        <w:trPr>
          <w:trHeight w:val="0" w:hRule="atLeast"/>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14A920D1">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特殊检查</w:t>
            </w:r>
          </w:p>
        </w:tc>
        <w:tc>
          <w:tcPr>
            <w:tcW w:w="5606" w:type="dxa"/>
            <w:tcBorders>
              <w:top w:val="single" w:color="222222" w:sz="6" w:space="0"/>
              <w:left w:val="single" w:color="222222" w:sz="6" w:space="0"/>
              <w:bottom w:val="single" w:color="222222" w:sz="6" w:space="0"/>
              <w:right w:val="single" w:color="222222" w:sz="6" w:space="0"/>
            </w:tcBorders>
            <w:vAlign w:val="center"/>
          </w:tcPr>
          <w:p w14:paraId="49C9EF8C">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外周血管淋巴细胞染色体畸形分析、胸部X线检查（在留取细胞遗传学检查所需血样后）、心电图、腹部B超</w:t>
            </w:r>
          </w:p>
        </w:tc>
        <w:tc>
          <w:tcPr>
            <w:tcW w:w="1453" w:type="dxa"/>
            <w:vMerge w:val="continue"/>
            <w:tcBorders>
              <w:left w:val="single" w:color="222222" w:sz="6" w:space="0"/>
              <w:right w:val="single" w:color="222222" w:sz="6" w:space="0"/>
            </w:tcBorders>
            <w:vAlign w:val="center"/>
          </w:tcPr>
          <w:p w14:paraId="5BF1D4D5">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485A3DF4">
        <w:tblPrEx>
          <w:tblCellMar>
            <w:top w:w="0" w:type="dxa"/>
            <w:left w:w="108" w:type="dxa"/>
            <w:bottom w:w="0" w:type="dxa"/>
            <w:right w:w="108" w:type="dxa"/>
          </w:tblCellMar>
        </w:tblPrEx>
        <w:trPr>
          <w:trHeight w:val="0" w:hRule="atLeast"/>
          <w:jc w:val="center"/>
        </w:trPr>
        <w:tc>
          <w:tcPr>
            <w:tcW w:w="1553" w:type="dxa"/>
            <w:tcBorders>
              <w:top w:val="single" w:color="222222" w:sz="6" w:space="0"/>
              <w:left w:val="single" w:color="222222" w:sz="6" w:space="0"/>
              <w:bottom w:val="single" w:color="222222" w:sz="6" w:space="0"/>
              <w:right w:val="single" w:color="222222" w:sz="6" w:space="0"/>
            </w:tcBorders>
            <w:vAlign w:val="center"/>
          </w:tcPr>
          <w:p w14:paraId="194A8F88">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放射专项</w:t>
            </w:r>
          </w:p>
        </w:tc>
        <w:tc>
          <w:tcPr>
            <w:tcW w:w="5606" w:type="dxa"/>
            <w:tcBorders>
              <w:top w:val="single" w:color="222222" w:sz="6" w:space="0"/>
              <w:left w:val="single" w:color="222222" w:sz="6" w:space="0"/>
              <w:bottom w:val="single" w:color="222222" w:sz="6" w:space="0"/>
              <w:right w:val="single" w:color="222222" w:sz="6" w:space="0"/>
            </w:tcBorders>
            <w:vAlign w:val="center"/>
          </w:tcPr>
          <w:p w14:paraId="52116F16">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放射生物剂量估算（应急照射后）、心肺功能检查</w:t>
            </w:r>
          </w:p>
        </w:tc>
        <w:tc>
          <w:tcPr>
            <w:tcW w:w="1453" w:type="dxa"/>
            <w:vMerge w:val="continue"/>
            <w:tcBorders>
              <w:left w:val="single" w:color="222222" w:sz="6" w:space="0"/>
              <w:bottom w:val="single" w:color="222222" w:sz="6" w:space="0"/>
              <w:right w:val="single" w:color="222222" w:sz="6" w:space="0"/>
            </w:tcBorders>
            <w:vAlign w:val="center"/>
          </w:tcPr>
          <w:p w14:paraId="7D4D06A2">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bl>
    <w:p w14:paraId="1BC02950">
      <w:pPr>
        <w:pStyle w:val="3"/>
        <w:ind w:firstLine="640" w:firstLineChars="200"/>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4.应急照射后体检</w:t>
      </w:r>
    </w:p>
    <w:tbl>
      <w:tblPr>
        <w:tblStyle w:val="7"/>
        <w:tblW w:w="8622" w:type="dxa"/>
        <w:jc w:val="center"/>
        <w:tblLayout w:type="autofit"/>
        <w:tblCellMar>
          <w:top w:w="0" w:type="dxa"/>
          <w:left w:w="108" w:type="dxa"/>
          <w:bottom w:w="0" w:type="dxa"/>
          <w:right w:w="108" w:type="dxa"/>
        </w:tblCellMar>
      </w:tblPr>
      <w:tblGrid>
        <w:gridCol w:w="1512"/>
        <w:gridCol w:w="5610"/>
        <w:gridCol w:w="1500"/>
      </w:tblGrid>
      <w:tr w14:paraId="2DD654AB">
        <w:tblPrEx>
          <w:tblCellMar>
            <w:top w:w="0" w:type="dxa"/>
            <w:left w:w="108" w:type="dxa"/>
            <w:bottom w:w="0" w:type="dxa"/>
            <w:right w:w="108" w:type="dxa"/>
          </w:tblCellMar>
        </w:tblPrEx>
        <w:trPr>
          <w:trHeight w:val="0" w:hRule="atLeast"/>
          <w:tblHeader/>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49989239">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类别</w:t>
            </w:r>
          </w:p>
        </w:tc>
        <w:tc>
          <w:tcPr>
            <w:tcW w:w="5610" w:type="dxa"/>
            <w:tcBorders>
              <w:top w:val="single" w:color="222222" w:sz="6" w:space="0"/>
              <w:left w:val="single" w:color="222222" w:sz="6" w:space="0"/>
              <w:bottom w:val="single" w:color="222222" w:sz="6" w:space="0"/>
              <w:right w:val="single" w:color="222222" w:sz="6" w:space="0"/>
            </w:tcBorders>
            <w:vAlign w:val="center"/>
          </w:tcPr>
          <w:p w14:paraId="3DB9F352">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必检项目</w:t>
            </w:r>
          </w:p>
        </w:tc>
        <w:tc>
          <w:tcPr>
            <w:tcW w:w="1500" w:type="dxa"/>
            <w:tcBorders>
              <w:top w:val="single" w:color="222222" w:sz="6" w:space="0"/>
              <w:left w:val="single" w:color="222222" w:sz="6" w:space="0"/>
              <w:bottom w:val="single" w:color="222222" w:sz="6" w:space="0"/>
              <w:right w:val="single" w:color="222222" w:sz="6" w:space="0"/>
            </w:tcBorders>
            <w:vAlign w:val="center"/>
          </w:tcPr>
          <w:p w14:paraId="18127B29">
            <w:pPr>
              <w:snapToGrid w:val="0"/>
              <w:spacing w:line="240" w:lineRule="auto"/>
              <w:ind w:left="0" w:leftChars="0" w:right="0" w:rightChars="0" w:firstLine="0" w:firstLineChars="0"/>
              <w:jc w:val="center"/>
              <w:rPr>
                <w:rFonts w:hint="eastAsia" w:ascii="仿宋_GB2312" w:hAnsi="仿宋_GB2312" w:eastAsia="仿宋_GB2312" w:cs="仿宋_GB2312"/>
                <w:b/>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报价</w:t>
            </w:r>
          </w:p>
          <w:p w14:paraId="10191650">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bCs w:val="0"/>
                <w:kern w:val="0"/>
                <w:sz w:val="24"/>
                <w:szCs w:val="24"/>
                <w:highlight w:val="none"/>
                <w:lang w:val="en-US" w:eastAsia="zh-CN" w:bidi="ar-SA"/>
              </w:rPr>
              <w:t>(元/人/次)</w:t>
            </w:r>
          </w:p>
        </w:tc>
      </w:tr>
      <w:tr w14:paraId="16AFE8AC">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39380C1E">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p>
        </w:tc>
        <w:tc>
          <w:tcPr>
            <w:tcW w:w="5610" w:type="dxa"/>
            <w:tcBorders>
              <w:top w:val="single" w:color="222222" w:sz="6" w:space="0"/>
              <w:left w:val="single" w:color="222222" w:sz="6" w:space="0"/>
              <w:bottom w:val="single" w:color="222222" w:sz="6" w:space="0"/>
              <w:right w:val="single" w:color="222222" w:sz="6" w:space="0"/>
            </w:tcBorders>
            <w:vAlign w:val="center"/>
          </w:tcPr>
          <w:p w14:paraId="17EA71C8">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应急/事故照射史、医学史、 职业史调查</w:t>
            </w:r>
          </w:p>
        </w:tc>
        <w:tc>
          <w:tcPr>
            <w:tcW w:w="1500" w:type="dxa"/>
            <w:vMerge w:val="restart"/>
            <w:tcBorders>
              <w:top w:val="single" w:color="222222" w:sz="6" w:space="0"/>
              <w:left w:val="single" w:color="222222" w:sz="6" w:space="0"/>
              <w:right w:val="single" w:color="222222" w:sz="6" w:space="0"/>
            </w:tcBorders>
            <w:vAlign w:val="center"/>
          </w:tcPr>
          <w:p w14:paraId="0C1D1C23">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1FB1CADD">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5F1AABD9">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常规检查</w:t>
            </w:r>
          </w:p>
        </w:tc>
        <w:tc>
          <w:tcPr>
            <w:tcW w:w="5610" w:type="dxa"/>
            <w:tcBorders>
              <w:top w:val="single" w:color="222222" w:sz="6" w:space="0"/>
              <w:left w:val="single" w:color="222222" w:sz="6" w:space="0"/>
              <w:bottom w:val="single" w:color="222222" w:sz="6" w:space="0"/>
              <w:right w:val="single" w:color="222222" w:sz="6" w:space="0"/>
            </w:tcBorders>
            <w:vAlign w:val="center"/>
          </w:tcPr>
          <w:p w14:paraId="53AF89E6">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详细的内科、外科、眼科、皮肤科、神经科检查</w:t>
            </w:r>
          </w:p>
          <w:p w14:paraId="0AD10176">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c>
          <w:tcPr>
            <w:tcW w:w="1500" w:type="dxa"/>
            <w:vMerge w:val="continue"/>
            <w:tcBorders>
              <w:left w:val="single" w:color="222222" w:sz="6" w:space="0"/>
              <w:right w:val="single" w:color="222222" w:sz="6" w:space="0"/>
            </w:tcBorders>
            <w:vAlign w:val="center"/>
          </w:tcPr>
          <w:p w14:paraId="72327B7D">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44E2DA4C">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575FA675">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实验室检查</w:t>
            </w:r>
          </w:p>
        </w:tc>
        <w:tc>
          <w:tcPr>
            <w:tcW w:w="5610" w:type="dxa"/>
            <w:tcBorders>
              <w:top w:val="single" w:color="222222" w:sz="6" w:space="0"/>
              <w:left w:val="single" w:color="222222" w:sz="6" w:space="0"/>
              <w:bottom w:val="single" w:color="222222" w:sz="6" w:space="0"/>
              <w:right w:val="single" w:color="222222" w:sz="6" w:space="0"/>
            </w:tcBorders>
            <w:vAlign w:val="center"/>
          </w:tcPr>
          <w:p w14:paraId="30CF2954">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血常规和白细胞分类（连续取样）、尿常规、</w:t>
            </w:r>
            <w:r>
              <w:rPr>
                <w:rFonts w:hint="eastAsia" w:ascii="仿宋_GB2312" w:hAnsi="仿宋_GB2312" w:eastAsia="仿宋_GB2312" w:cs="仿宋_GB2312"/>
                <w:b w:val="0"/>
                <w:bCs w:val="0"/>
                <w:color w:val="auto"/>
                <w:kern w:val="0"/>
                <w:sz w:val="24"/>
                <w:szCs w:val="24"/>
                <w:highlight w:val="none"/>
                <w:lang w:val="en-US" w:eastAsia="zh-CN" w:bidi="ar-SA"/>
              </w:rPr>
              <w:t>肝功能、肾功能</w:t>
            </w:r>
          </w:p>
        </w:tc>
        <w:tc>
          <w:tcPr>
            <w:tcW w:w="1500" w:type="dxa"/>
            <w:vMerge w:val="continue"/>
            <w:tcBorders>
              <w:left w:val="single" w:color="222222" w:sz="6" w:space="0"/>
              <w:right w:val="single" w:color="222222" w:sz="6" w:space="0"/>
            </w:tcBorders>
            <w:vAlign w:val="center"/>
          </w:tcPr>
          <w:p w14:paraId="755318E3">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765E72BB">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3F48978D">
            <w:pPr>
              <w:numPr>
                <w:ilvl w:val="0"/>
                <w:numId w:val="0"/>
              </w:numPr>
              <w:snapToGrid w:val="0"/>
              <w:spacing w:line="240" w:lineRule="auto"/>
              <w:ind w:left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特殊检查</w:t>
            </w:r>
          </w:p>
        </w:tc>
        <w:tc>
          <w:tcPr>
            <w:tcW w:w="5610" w:type="dxa"/>
            <w:tcBorders>
              <w:top w:val="single" w:color="222222" w:sz="6" w:space="0"/>
              <w:left w:val="single" w:color="222222" w:sz="6" w:space="0"/>
              <w:bottom w:val="single" w:color="222222" w:sz="6" w:space="0"/>
              <w:right w:val="single" w:color="222222" w:sz="6" w:space="0"/>
            </w:tcBorders>
            <w:vAlign w:val="center"/>
          </w:tcPr>
          <w:p w14:paraId="2A4BE861">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外周血管淋巴细胞染色体畸形分析、胸部X线检查（在留取细胞遗传学检查所需血样后）、心电图</w:t>
            </w:r>
          </w:p>
        </w:tc>
        <w:tc>
          <w:tcPr>
            <w:tcW w:w="1500" w:type="dxa"/>
            <w:vMerge w:val="continue"/>
            <w:tcBorders>
              <w:left w:val="single" w:color="222222" w:sz="6" w:space="0"/>
              <w:right w:val="single" w:color="222222" w:sz="6" w:space="0"/>
            </w:tcBorders>
            <w:vAlign w:val="center"/>
          </w:tcPr>
          <w:p w14:paraId="29320341">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47411AEA">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3954FFDC">
            <w:pPr>
              <w:snapToGrid w:val="0"/>
              <w:spacing w:line="240" w:lineRule="auto"/>
              <w:ind w:left="0" w:leftChars="0" w:right="0" w:rightChars="0" w:firstLine="0" w:firstLineChars="0"/>
              <w:jc w:val="center"/>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放射专项</w:t>
            </w:r>
          </w:p>
        </w:tc>
        <w:tc>
          <w:tcPr>
            <w:tcW w:w="5610" w:type="dxa"/>
            <w:tcBorders>
              <w:top w:val="single" w:color="222222" w:sz="6" w:space="0"/>
              <w:left w:val="single" w:color="222222" w:sz="6" w:space="0"/>
              <w:bottom w:val="single" w:color="222222" w:sz="6" w:space="0"/>
              <w:right w:val="single" w:color="222222" w:sz="6" w:space="0"/>
            </w:tcBorders>
            <w:vAlign w:val="center"/>
          </w:tcPr>
          <w:p w14:paraId="27B7C9D2">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放射生物剂量估算（应急照射后）、心肺功能检查</w:t>
            </w:r>
          </w:p>
        </w:tc>
        <w:tc>
          <w:tcPr>
            <w:tcW w:w="1500" w:type="dxa"/>
            <w:vMerge w:val="continue"/>
            <w:tcBorders>
              <w:left w:val="single" w:color="222222" w:sz="6" w:space="0"/>
              <w:right w:val="single" w:color="222222" w:sz="6" w:space="0"/>
            </w:tcBorders>
            <w:vAlign w:val="center"/>
          </w:tcPr>
          <w:p w14:paraId="3C05FF20">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r w14:paraId="1C0AE011">
        <w:tblPrEx>
          <w:tblCellMar>
            <w:top w:w="0" w:type="dxa"/>
            <w:left w:w="108" w:type="dxa"/>
            <w:bottom w:w="0" w:type="dxa"/>
            <w:right w:w="108" w:type="dxa"/>
          </w:tblCellMar>
        </w:tblPrEx>
        <w:trPr>
          <w:trHeight w:val="0" w:hRule="atLeast"/>
          <w:jc w:val="center"/>
        </w:trPr>
        <w:tc>
          <w:tcPr>
            <w:tcW w:w="1512" w:type="dxa"/>
            <w:tcBorders>
              <w:top w:val="single" w:color="222222" w:sz="6" w:space="0"/>
              <w:left w:val="single" w:color="222222" w:sz="6" w:space="0"/>
              <w:bottom w:val="single" w:color="222222" w:sz="6" w:space="0"/>
              <w:right w:val="single" w:color="222222" w:sz="6" w:space="0"/>
            </w:tcBorders>
            <w:vAlign w:val="center"/>
          </w:tcPr>
          <w:p w14:paraId="617239BA">
            <w:pPr>
              <w:snapToGrid w:val="0"/>
              <w:spacing w:line="240" w:lineRule="auto"/>
              <w:ind w:left="0" w:leftChars="0" w:right="0" w:rightChars="0" w:firstLine="0" w:firstLineChars="0"/>
              <w:jc w:val="center"/>
              <w:rPr>
                <w:rFonts w:hint="default"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选检项目</w:t>
            </w:r>
          </w:p>
        </w:tc>
        <w:tc>
          <w:tcPr>
            <w:tcW w:w="5610" w:type="dxa"/>
            <w:tcBorders>
              <w:top w:val="single" w:color="222222" w:sz="6" w:space="0"/>
              <w:left w:val="single" w:color="222222" w:sz="6" w:space="0"/>
              <w:bottom w:val="single" w:color="222222" w:sz="6" w:space="0"/>
              <w:right w:val="single" w:color="222222" w:sz="6" w:space="0"/>
            </w:tcBorders>
            <w:vAlign w:val="center"/>
          </w:tcPr>
          <w:p w14:paraId="6FFBE598">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根据受照和损伤的具体情况，参照 GB/T 18199、GBZ215、GBZ 112、GBZ 104、GBZ 96、GBZ 113、GBZ 106有关标准进行必要的检查和医学处理。</w:t>
            </w:r>
          </w:p>
        </w:tc>
        <w:tc>
          <w:tcPr>
            <w:tcW w:w="1500" w:type="dxa"/>
            <w:vMerge w:val="continue"/>
            <w:tcBorders>
              <w:left w:val="single" w:color="222222" w:sz="6" w:space="0"/>
              <w:bottom w:val="single" w:color="222222" w:sz="6" w:space="0"/>
              <w:right w:val="single" w:color="222222" w:sz="6" w:space="0"/>
            </w:tcBorders>
            <w:vAlign w:val="center"/>
          </w:tcPr>
          <w:p w14:paraId="49815CB2">
            <w:pPr>
              <w:snapToGrid w:val="0"/>
              <w:spacing w:line="240" w:lineRule="auto"/>
              <w:ind w:left="0" w:leftChars="0" w:right="0" w:rightChars="0" w:firstLine="0" w:firstLineChars="0"/>
              <w:jc w:val="both"/>
              <w:rPr>
                <w:rFonts w:hint="eastAsia" w:ascii="仿宋_GB2312" w:hAnsi="仿宋_GB2312" w:eastAsia="仿宋_GB2312" w:cs="仿宋_GB2312"/>
                <w:b w:val="0"/>
                <w:bCs w:val="0"/>
                <w:kern w:val="0"/>
                <w:sz w:val="24"/>
                <w:szCs w:val="24"/>
                <w:highlight w:val="none"/>
                <w:lang w:val="en-US" w:eastAsia="zh-CN" w:bidi="ar-SA"/>
              </w:rPr>
            </w:pPr>
          </w:p>
        </w:tc>
      </w:tr>
    </w:tbl>
    <w:p w14:paraId="57FFD2D2">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320" w:firstLineChars="100"/>
        <w:textAlignment w:val="auto"/>
        <w:rPr>
          <w:rFonts w:hint="default"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二、服务要求</w:t>
      </w:r>
    </w:p>
    <w:p w14:paraId="59AA51A4">
      <w:pPr>
        <w:keepNext w:val="0"/>
        <w:keepLines w:val="0"/>
        <w:widowControl/>
        <w:suppressLineNumbers w:val="0"/>
        <w:ind w:firstLine="640" w:firstLineChars="200"/>
        <w:jc w:val="left"/>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（一）</w:t>
      </w:r>
      <w:r>
        <w:rPr>
          <w:rFonts w:hint="eastAsia" w:ascii="仿宋_GB2312" w:hAnsi="仿宋_GB2312" w:eastAsia="仿宋_GB2312" w:cs="仿宋_GB2312"/>
          <w:b w:val="0"/>
          <w:bCs w:val="0"/>
          <w:kern w:val="0"/>
          <w:sz w:val="32"/>
          <w:szCs w:val="32"/>
          <w:highlight w:val="none"/>
          <w:lang w:val="en-US" w:eastAsia="zh-CN" w:bidi="ar-SA"/>
        </w:rPr>
        <w:t>第三方专业体检机构应依据《放射工作人员健康要求及监护规范》GBZ 98—2020中的标准开展职业健康检查，并规范出具职业健康检查报告。所出具的职业健康检查报告，其格式与内容需符合卫生主管部门和卫生监督部门的检查要求。详细标准包括但不限于：</w:t>
      </w:r>
    </w:p>
    <w:p w14:paraId="5169E478">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16148 放射性核素摄入量及内照射剂量估算规范</w:t>
      </w:r>
    </w:p>
    <w:p w14:paraId="2BD6A571">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GB/T 18199 外照射事故受照人员的医学处理和治疗方案</w:t>
      </w:r>
    </w:p>
    <w:p w14:paraId="565166E3">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95 职业性放射性白内障的诊断</w:t>
      </w:r>
    </w:p>
    <w:p w14:paraId="473D749A">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96 内照射放射病诊断标准</w:t>
      </w:r>
    </w:p>
    <w:p w14:paraId="7B72E08B">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97 职业性放射性肿瘤判断规范</w:t>
      </w:r>
    </w:p>
    <w:p w14:paraId="289B3904">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99 外照射亚急性放射病诊断标准</w:t>
      </w:r>
    </w:p>
    <w:p w14:paraId="1A649FEE">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100 外照射放射性骨损伤诊断</w:t>
      </w:r>
    </w:p>
    <w:p w14:paraId="2D3EAA3C">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101 放射性甲状腺疾病诊断标准</w:t>
      </w:r>
    </w:p>
    <w:p w14:paraId="612D05E4">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104 职业性外照射急性放射病诊断</w:t>
      </w:r>
    </w:p>
    <w:p w14:paraId="34D9DE04">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105 职业性外照射慢性放射病诊断</w:t>
      </w:r>
    </w:p>
    <w:p w14:paraId="431FBC50">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106 职业性放射性皮肤损伤诊断</w:t>
      </w:r>
    </w:p>
    <w:p w14:paraId="19FDEA2E">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107 职业性放射性性腺疾病诊断</w:t>
      </w:r>
    </w:p>
    <w:p w14:paraId="0C2FD4A5">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112 职业性放射性疾病诊断总则</w:t>
      </w:r>
    </w:p>
    <w:p w14:paraId="6AAC1F1F">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113 核与放射事故干预及医学处理原则</w:t>
      </w:r>
    </w:p>
    <w:p w14:paraId="15A58336">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163 职业性外照射急性放射病的远期效应医学随访规范</w:t>
      </w:r>
    </w:p>
    <w:p w14:paraId="2AAFD1EF">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188 职业健康监护技术规范</w:t>
      </w:r>
    </w:p>
    <w:p w14:paraId="75A1D174">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215 过量照射人员医学检查与处理原则</w:t>
      </w:r>
    </w:p>
    <w:p w14:paraId="0CEC6949">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216 人体体表放射性核素污染处理规范</w:t>
      </w:r>
    </w:p>
    <w:p w14:paraId="0D65005B">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 219 放射性皮肤癌诊断标准</w:t>
      </w:r>
    </w:p>
    <w:p w14:paraId="45C2D0E5">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244 电离辐射所致皮肤剂量估算方法</w:t>
      </w:r>
    </w:p>
    <w:p w14:paraId="0BCB9CC3">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248 放射工作人员职业健康检查外周血淋巴细胞染色体畸变检测</w:t>
      </w:r>
    </w:p>
    <w:p w14:paraId="544B151D">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261 外照射辐射事故中受照人员器官剂量重建规范</w:t>
      </w:r>
    </w:p>
    <w:p w14:paraId="7CB89463">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GBZ/T 301 电离辐射所致眼晶状体剂量估算方法</w:t>
      </w:r>
    </w:p>
    <w:p w14:paraId="444636CD">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WS/T 187 淋巴细胞微核估算受照剂量方法</w:t>
      </w:r>
    </w:p>
    <w:p w14:paraId="53B45594">
      <w:pPr>
        <w:keepNext w:val="0"/>
        <w:keepLines w:val="0"/>
        <w:widowControl/>
        <w:suppressLineNumbers w:val="0"/>
        <w:jc w:val="left"/>
        <w:rPr>
          <w:rFonts w:hint="eastAsia" w:ascii="仿宋_GB2312" w:hAnsi="仿宋_GB2312" w:eastAsia="仿宋_GB2312" w:cs="仿宋_GB2312"/>
          <w:b w:val="0"/>
          <w:bCs w:val="0"/>
          <w:kern w:val="0"/>
          <w:sz w:val="24"/>
          <w:szCs w:val="24"/>
          <w:highlight w:val="none"/>
          <w:lang w:val="en-US" w:eastAsia="zh-CN" w:bidi="ar-SA"/>
        </w:rPr>
      </w:pPr>
      <w:r>
        <w:rPr>
          <w:rFonts w:hint="eastAsia" w:ascii="仿宋_GB2312" w:hAnsi="仿宋_GB2312" w:eastAsia="仿宋_GB2312" w:cs="仿宋_GB2312"/>
          <w:b w:val="0"/>
          <w:bCs w:val="0"/>
          <w:kern w:val="0"/>
          <w:sz w:val="24"/>
          <w:szCs w:val="24"/>
          <w:highlight w:val="none"/>
          <w:lang w:val="en-US" w:eastAsia="zh-CN" w:bidi="ar-SA"/>
        </w:rPr>
        <w:t>WS/T 583 放射性核素内污染人员医学处理规范</w:t>
      </w:r>
    </w:p>
    <w:p w14:paraId="185D690B">
      <w:pPr>
        <w:keepNext w:val="0"/>
        <w:keepLines w:val="0"/>
        <w:widowControl/>
        <w:suppressLineNumbers w:val="0"/>
        <w:ind w:firstLine="640" w:firstLineChars="200"/>
        <w:jc w:val="left"/>
        <w:rPr>
          <w:rFonts w:hint="eastAsia" w:eastAsia="宋体"/>
          <w:lang w:eastAsia="zh-CN"/>
        </w:rPr>
      </w:pPr>
      <w:r>
        <w:rPr>
          <w:rFonts w:hint="eastAsia" w:ascii="楷体" w:hAnsi="楷体" w:eastAsia="楷体" w:cs="楷体"/>
          <w:b w:val="0"/>
          <w:bCs w:val="0"/>
          <w:kern w:val="0"/>
          <w:sz w:val="32"/>
          <w:szCs w:val="32"/>
          <w:highlight w:val="none"/>
          <w:lang w:val="en-US" w:eastAsia="zh-CN" w:bidi="ar-SA"/>
        </w:rPr>
        <w:t>（二）</w:t>
      </w:r>
      <w:r>
        <w:rPr>
          <w:rFonts w:hint="eastAsia" w:ascii="仿宋_GB2312" w:hAnsi="仿宋_GB2312" w:eastAsia="仿宋_GB2312" w:cs="仿宋_GB2312"/>
          <w:b w:val="0"/>
          <w:bCs w:val="0"/>
          <w:kern w:val="0"/>
          <w:sz w:val="32"/>
          <w:szCs w:val="32"/>
          <w:highlight w:val="none"/>
          <w:lang w:val="en-US" w:eastAsia="zh-CN" w:bidi="ar-SA"/>
        </w:rPr>
        <w:t>体检报告需在检测完成后的</w:t>
      </w:r>
      <w:r>
        <w:rPr>
          <w:rFonts w:hint="eastAsia" w:ascii="仿宋_GB2312" w:hAnsi="仿宋_GB2312" w:eastAsia="仿宋_GB2312" w:cs="仿宋_GB2312"/>
          <w:b w:val="0"/>
          <w:bCs w:val="0"/>
          <w:color w:val="0000FF"/>
          <w:kern w:val="0"/>
          <w:sz w:val="32"/>
          <w:szCs w:val="32"/>
          <w:highlight w:val="none"/>
          <w:lang w:val="en-US" w:eastAsia="zh-CN" w:bidi="ar-SA"/>
        </w:rPr>
        <w:t>7个工作日</w:t>
      </w:r>
      <w:r>
        <w:rPr>
          <w:rFonts w:hint="eastAsia" w:ascii="仿宋_GB2312" w:hAnsi="仿宋_GB2312" w:eastAsia="仿宋_GB2312" w:cs="仿宋_GB2312"/>
          <w:b w:val="0"/>
          <w:bCs w:val="0"/>
          <w:kern w:val="0"/>
          <w:sz w:val="32"/>
          <w:szCs w:val="32"/>
          <w:highlight w:val="none"/>
          <w:lang w:val="en-US" w:eastAsia="zh-CN" w:bidi="ar-SA"/>
        </w:rPr>
        <w:t>内提交电子版，并在</w:t>
      </w:r>
      <w:r>
        <w:rPr>
          <w:rFonts w:hint="eastAsia" w:ascii="仿宋_GB2312" w:hAnsi="仿宋_GB2312" w:eastAsia="仿宋_GB2312" w:cs="仿宋_GB2312"/>
          <w:b w:val="0"/>
          <w:bCs w:val="0"/>
          <w:color w:val="0000FF"/>
          <w:kern w:val="0"/>
          <w:sz w:val="32"/>
          <w:szCs w:val="32"/>
          <w:highlight w:val="none"/>
          <w:lang w:val="en-US" w:eastAsia="zh-CN" w:bidi="ar-SA"/>
        </w:rPr>
        <w:t>15个工作日</w:t>
      </w:r>
      <w:r>
        <w:rPr>
          <w:rFonts w:hint="eastAsia" w:ascii="仿宋_GB2312" w:hAnsi="仿宋_GB2312" w:eastAsia="仿宋_GB2312" w:cs="仿宋_GB2312"/>
          <w:b w:val="0"/>
          <w:bCs w:val="0"/>
          <w:kern w:val="0"/>
          <w:sz w:val="32"/>
          <w:szCs w:val="32"/>
          <w:highlight w:val="none"/>
          <w:lang w:val="en-US" w:eastAsia="zh-CN" w:bidi="ar-SA"/>
        </w:rPr>
        <w:t>内交付纸质盖章报告。若检测数据出现异常，需立即通知医共体各成员单位，同时由专业体检医生给出进一步的检查建议。</w:t>
      </w:r>
    </w:p>
    <w:p w14:paraId="6A3D1135">
      <w:pPr>
        <w:pStyle w:val="2"/>
        <w:ind w:firstLine="640" w:firstLineChars="200"/>
        <w:rPr>
          <w:rFonts w:hint="eastAsia" w:eastAsia="宋体"/>
          <w:lang w:eastAsia="zh-CN"/>
        </w:rPr>
      </w:pPr>
      <w:r>
        <w:rPr>
          <w:rFonts w:hint="eastAsia" w:ascii="楷体" w:hAnsi="楷体" w:eastAsia="楷体" w:cs="楷体"/>
          <w:b w:val="0"/>
          <w:bCs w:val="0"/>
          <w:kern w:val="0"/>
          <w:sz w:val="32"/>
          <w:szCs w:val="32"/>
          <w:highlight w:val="none"/>
          <w:lang w:val="en-US" w:eastAsia="zh-CN" w:bidi="ar-SA"/>
        </w:rPr>
        <w:t>（三）</w:t>
      </w:r>
      <w:r>
        <w:rPr>
          <w:rFonts w:hint="eastAsia" w:ascii="仿宋_GB2312" w:hAnsi="仿宋_GB2312" w:eastAsia="仿宋_GB2312" w:cs="仿宋_GB2312"/>
          <w:b w:val="0"/>
          <w:bCs w:val="0"/>
          <w:kern w:val="0"/>
          <w:sz w:val="32"/>
          <w:szCs w:val="32"/>
          <w:highlight w:val="none"/>
          <w:lang w:val="en-US" w:eastAsia="zh-CN" w:bidi="ar-SA"/>
        </w:rPr>
        <w:t>需预先制定放射从业人员健康体检方案，安排配备专业体检设备的体检车前往指定地点，开展上门集中体检；或者前往各县级成员单位指定地点，进行分批次检测。并提前2 - 3天告知各成员单位体检日的具体时间、地点等信息。针对</w:t>
      </w:r>
      <w:r>
        <w:rPr>
          <w:rFonts w:hint="eastAsia" w:ascii="仿宋_GB2312" w:hAnsi="仿宋_GB2312" w:eastAsia="仿宋_GB2312" w:cs="仿宋_GB2312"/>
          <w:b w:val="0"/>
          <w:bCs w:val="0"/>
          <w:color w:val="auto"/>
          <w:kern w:val="0"/>
          <w:sz w:val="32"/>
          <w:szCs w:val="32"/>
          <w:highlight w:val="none"/>
          <w:lang w:val="en-US" w:eastAsia="zh-CN" w:bidi="ar-SA"/>
        </w:rPr>
        <w:t xml:space="preserve">各乡镇成员单位的放射从业人员，在通过电话通知后，可与县级成员单位体检人员进行统筹安排。  </w:t>
      </w:r>
    </w:p>
    <w:p w14:paraId="16087015">
      <w:pPr>
        <w:pStyle w:val="3"/>
        <w:ind w:firstLine="640" w:firstLineChars="200"/>
        <w:rPr>
          <w:rFonts w:hint="eastAsia" w:eastAsia="宋体"/>
          <w:lang w:eastAsia="zh-CN"/>
        </w:rPr>
      </w:pPr>
      <w:r>
        <w:rPr>
          <w:rFonts w:hint="eastAsia" w:ascii="楷体" w:hAnsi="楷体" w:eastAsia="楷体" w:cs="楷体"/>
          <w:b w:val="0"/>
          <w:bCs w:val="0"/>
          <w:kern w:val="0"/>
          <w:sz w:val="32"/>
          <w:szCs w:val="32"/>
          <w:highlight w:val="none"/>
          <w:lang w:val="en-US" w:eastAsia="zh-CN" w:bidi="ar-SA"/>
        </w:rPr>
        <w:t>（四）</w:t>
      </w:r>
      <w:r>
        <w:rPr>
          <w:rFonts w:hint="eastAsia" w:ascii="仿宋_GB2312" w:hAnsi="仿宋_GB2312" w:eastAsia="仿宋_GB2312" w:cs="仿宋_GB2312"/>
          <w:b w:val="0"/>
          <w:bCs w:val="0"/>
          <w:color w:val="auto"/>
          <w:kern w:val="0"/>
          <w:sz w:val="32"/>
          <w:szCs w:val="32"/>
          <w:highlight w:val="none"/>
          <w:lang w:val="en-US" w:eastAsia="zh-CN" w:bidi="ar-SA"/>
        </w:rPr>
        <w:t xml:space="preserve">当出现应急照射后的体检情况时，接到电话通知后应立即响应。可选择派车接送相关人员前往体检医院，也可安排配备专业体检设备的体检车前往指定的体检地点。 </w:t>
      </w:r>
    </w:p>
    <w:p w14:paraId="1EF9798E">
      <w:pPr>
        <w:pStyle w:val="2"/>
        <w:ind w:firstLine="640" w:firstLineChars="200"/>
        <w:rPr>
          <w:rFonts w:hint="eastAsia" w:ascii="仿宋_GB2312" w:hAnsi="仿宋_GB2312" w:eastAsia="仿宋_GB2312" w:cs="仿宋_GB2312"/>
          <w:b w:val="0"/>
          <w:bCs w:val="0"/>
          <w:color w:val="0000FF"/>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（五）</w:t>
      </w:r>
      <w:r>
        <w:rPr>
          <w:rFonts w:hint="eastAsia" w:ascii="仿宋_GB2312" w:hAnsi="仿宋_GB2312" w:eastAsia="仿宋_GB2312" w:cs="仿宋_GB2312"/>
          <w:b w:val="0"/>
          <w:bCs w:val="0"/>
          <w:color w:val="auto"/>
          <w:kern w:val="0"/>
          <w:sz w:val="32"/>
          <w:szCs w:val="32"/>
          <w:highlight w:val="none"/>
          <w:lang w:val="en-US" w:eastAsia="zh-CN" w:bidi="ar-SA"/>
        </w:rPr>
        <w:t>建立放射从业人员体检健康档案，并实现其电子化管理。</w:t>
      </w:r>
    </w:p>
    <w:p w14:paraId="0D115C70">
      <w:pPr>
        <w:pStyle w:val="2"/>
        <w:ind w:firstLine="640" w:firstLineChars="200"/>
        <w:rPr>
          <w:rFonts w:hint="eastAsia" w:eastAsia="宋体"/>
          <w:lang w:eastAsia="zh-CN"/>
        </w:rPr>
      </w:pPr>
      <w:r>
        <w:rPr>
          <w:rFonts w:hint="eastAsia" w:ascii="楷体" w:hAnsi="楷体" w:eastAsia="楷体" w:cs="楷体"/>
          <w:b w:val="0"/>
          <w:bCs w:val="0"/>
          <w:kern w:val="0"/>
          <w:sz w:val="32"/>
          <w:szCs w:val="32"/>
          <w:highlight w:val="none"/>
          <w:lang w:val="en-US" w:eastAsia="zh-CN" w:bidi="ar-SA"/>
        </w:rPr>
        <w:t>（六）</w:t>
      </w:r>
      <w:r>
        <w:rPr>
          <w:rFonts w:hint="eastAsia" w:ascii="仿宋_GB2312" w:hAnsi="仿宋_GB2312" w:eastAsia="仿宋_GB2312" w:cs="仿宋_GB2312"/>
          <w:b w:val="0"/>
          <w:bCs w:val="0"/>
          <w:color w:val="auto"/>
          <w:kern w:val="0"/>
          <w:sz w:val="32"/>
          <w:szCs w:val="32"/>
          <w:highlight w:val="none"/>
          <w:lang w:val="en-US" w:eastAsia="zh-CN" w:bidi="ar-SA"/>
        </w:rPr>
        <w:t>配备由专职放射医学医师和检验师组成的专业团队，提供应急救治预案。</w:t>
      </w:r>
    </w:p>
    <w:p w14:paraId="6BBAAEBE">
      <w:pPr>
        <w:pStyle w:val="3"/>
        <w:ind w:left="0" w:leftChars="0" w:firstLine="640" w:firstLineChars="200"/>
        <w:rPr>
          <w:rFonts w:hint="eastAsia" w:eastAsia="宋体"/>
          <w:lang w:eastAsia="zh-CN"/>
        </w:rPr>
      </w:pPr>
      <w:r>
        <w:rPr>
          <w:rFonts w:hint="eastAsia" w:ascii="楷体" w:hAnsi="楷体" w:eastAsia="楷体" w:cs="楷体"/>
          <w:b w:val="0"/>
          <w:bCs w:val="0"/>
          <w:kern w:val="0"/>
          <w:sz w:val="32"/>
          <w:szCs w:val="32"/>
          <w:highlight w:val="none"/>
          <w:lang w:val="en-US" w:eastAsia="zh-CN" w:bidi="ar-SA"/>
        </w:rPr>
        <w:t>（七）</w:t>
      </w:r>
      <w:r>
        <w:rPr>
          <w:rFonts w:hint="eastAsia" w:ascii="仿宋_GB2312" w:hAnsi="仿宋_GB2312" w:eastAsia="仿宋_GB2312" w:cs="仿宋_GB2312"/>
          <w:b w:val="0"/>
          <w:bCs w:val="0"/>
          <w:color w:val="auto"/>
          <w:kern w:val="0"/>
          <w:sz w:val="32"/>
          <w:szCs w:val="32"/>
          <w:highlight w:val="none"/>
          <w:lang w:val="en-US" w:eastAsia="zh-CN" w:bidi="ar-SA"/>
        </w:rPr>
        <w:t>采用全自动检测设备，以确保结果的准确性。</w:t>
      </w:r>
    </w:p>
    <w:p w14:paraId="74C26723">
      <w:pPr>
        <w:widowControl w:val="0"/>
        <w:spacing w:after="120"/>
        <w:ind w:left="0" w:leftChars="0" w:firstLine="640" w:firstLineChars="200"/>
        <w:jc w:val="both"/>
        <w:rPr>
          <w:rFonts w:hint="eastAsia" w:eastAsia="宋体"/>
          <w:lang w:eastAsia="zh-CN"/>
        </w:rPr>
      </w:pPr>
      <w:r>
        <w:rPr>
          <w:rFonts w:hint="eastAsia" w:ascii="楷体" w:hAnsi="楷体" w:eastAsia="楷体" w:cs="楷体"/>
          <w:b w:val="0"/>
          <w:bCs w:val="0"/>
          <w:kern w:val="0"/>
          <w:sz w:val="32"/>
          <w:szCs w:val="32"/>
          <w:highlight w:val="none"/>
          <w:lang w:val="en-US" w:eastAsia="zh-CN" w:bidi="ar-SA"/>
        </w:rPr>
        <w:t>（八）</w:t>
      </w:r>
      <w:r>
        <w:rPr>
          <w:rFonts w:hint="eastAsia" w:ascii="仿宋_GB2312" w:hAnsi="仿宋_GB2312" w:eastAsia="仿宋_GB2312" w:cs="仿宋_GB2312"/>
          <w:b w:val="0"/>
          <w:bCs w:val="0"/>
          <w:color w:val="auto"/>
          <w:kern w:val="0"/>
          <w:sz w:val="32"/>
          <w:szCs w:val="32"/>
          <w:highlight w:val="none"/>
          <w:lang w:val="en-US" w:eastAsia="zh-CN" w:bidi="ar-SA"/>
        </w:rPr>
        <w:t xml:space="preserve">体检数据应进行加密存储，以符合《个人信息保护法》的要求，未经授权不得对外泄露。 </w:t>
      </w:r>
    </w:p>
    <w:p w14:paraId="6A9063CE">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三、商务要求</w:t>
      </w:r>
    </w:p>
    <w:p w14:paraId="74B1826C">
      <w:pPr>
        <w:pStyle w:val="5"/>
        <w:pageBreakBefore w:val="0"/>
        <w:kinsoku/>
        <w:wordWrap/>
        <w:overflowPunct/>
        <w:topLinePunct w:val="0"/>
        <w:autoSpaceDE/>
        <w:autoSpaceDN/>
        <w:bidi w:val="0"/>
        <w:adjustRightInd/>
        <w:snapToGrid/>
        <w:spacing w:line="560" w:lineRule="exact"/>
        <w:ind w:left="0" w:leftChars="0" w:firstLine="480"/>
        <w:textAlignment w:val="auto"/>
        <w:rPr>
          <w:rFonts w:hint="eastAsia" w:eastAsiaTheme="minorEastAsia"/>
          <w:lang w:eastAsia="zh-CN"/>
        </w:rPr>
      </w:pPr>
      <w:r>
        <w:rPr>
          <w:rFonts w:hint="eastAsia" w:ascii="楷体" w:hAnsi="楷体" w:eastAsia="楷体" w:cs="楷体"/>
          <w:b w:val="0"/>
          <w:bCs w:val="0"/>
          <w:kern w:val="0"/>
          <w:sz w:val="32"/>
          <w:szCs w:val="32"/>
          <w:highlight w:val="none"/>
          <w:lang w:val="en-US" w:eastAsia="zh-CN" w:bidi="ar-SA"/>
        </w:rPr>
        <w:t>（一）服务地点：</w:t>
      </w:r>
      <w:r>
        <w:rPr>
          <w:rFonts w:hint="eastAsia" w:ascii="仿宋_GB2312" w:hAnsi="仿宋_GB2312" w:eastAsia="仿宋_GB2312" w:cs="仿宋_GB2312"/>
          <w:b w:val="0"/>
          <w:bCs w:val="0"/>
          <w:kern w:val="0"/>
          <w:sz w:val="32"/>
          <w:szCs w:val="32"/>
          <w:highlight w:val="none"/>
          <w:lang w:val="en-US" w:eastAsia="zh-CN" w:bidi="ar-SA"/>
        </w:rPr>
        <w:t xml:space="preserve">经甲乙双方提前沟通并确定体检人数后，安排配备专业体检设备的体检车前往指定地点，开展上门集中体检工作；也可前往各县级成员单位指定的地点，进行分批次检测。 </w:t>
      </w:r>
    </w:p>
    <w:p w14:paraId="2269D036">
      <w:pPr>
        <w:pStyle w:val="5"/>
        <w:pageBreakBefore w:val="0"/>
        <w:kinsoku/>
        <w:wordWrap/>
        <w:overflowPunct/>
        <w:topLinePunct w:val="0"/>
        <w:autoSpaceDE/>
        <w:autoSpaceDN/>
        <w:bidi w:val="0"/>
        <w:adjustRightInd/>
        <w:snapToGrid/>
        <w:spacing w:line="560" w:lineRule="exact"/>
        <w:ind w:left="0" w:leftChars="0" w:firstLine="48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（二）服务频次：</w:t>
      </w:r>
    </w:p>
    <w:p w14:paraId="5B199343">
      <w:pPr>
        <w:pStyle w:val="5"/>
        <w:pageBreakBefore w:val="0"/>
        <w:kinsoku/>
        <w:wordWrap/>
        <w:overflowPunct/>
        <w:topLinePunct w:val="0"/>
        <w:autoSpaceDE/>
        <w:autoSpaceDN/>
        <w:bidi w:val="0"/>
        <w:adjustRightInd/>
        <w:snapToGrid/>
        <w:spacing w:line="560" w:lineRule="exact"/>
        <w:ind w:left="0" w:leftChars="0" w:firstLine="480"/>
        <w:textAlignment w:val="auto"/>
        <w:rPr>
          <w:rFonts w:hint="eastAsia" w:eastAsiaTheme="minorEastAsia"/>
          <w:lang w:eastAsia="zh-CN"/>
        </w:rPr>
      </w:pPr>
      <w:r>
        <w:rPr>
          <w:rFonts w:hint="eastAsia" w:ascii="仿宋_GB2312" w:hAnsi="仿宋_GB2312" w:eastAsia="仿宋_GB2312" w:cs="仿宋_GB2312"/>
          <w:b w:val="0"/>
          <w:bCs w:val="0"/>
          <w:kern w:val="0"/>
          <w:sz w:val="32"/>
          <w:szCs w:val="32"/>
          <w:highlight w:val="none"/>
          <w:lang w:val="en-US" w:eastAsia="zh-CN" w:bidi="ar-SA"/>
        </w:rPr>
        <w:t>1. 集中在岗体检：甲乙双方预先统计体检人员数量，分别于上半年和下半年各集中组织一次上门体检。</w:t>
      </w:r>
    </w:p>
    <w:p w14:paraId="1A10A902">
      <w:pPr>
        <w:pStyle w:val="5"/>
        <w:pageBreakBefore w:val="0"/>
        <w:kinsoku/>
        <w:wordWrap/>
        <w:overflowPunct/>
        <w:topLinePunct w:val="0"/>
        <w:autoSpaceDE/>
        <w:autoSpaceDN/>
        <w:bidi w:val="0"/>
        <w:adjustRightInd/>
        <w:snapToGrid/>
        <w:spacing w:line="560" w:lineRule="exact"/>
        <w:ind w:left="0" w:leftChars="0" w:firstLine="48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 岗前体检、离岗体检：甲乙双方预先统计体检人员数量。若这两类体检时间与集中在岗体检的两次时间重合，则一并组织体检；若存在时间差，原则上每季度组织一次体检。若本季度无岗前体检或离岗体检人员，经甲乙双方协商后，可将体检延至下一季度进行。若体检人员数量过少，可与供应商协商后前往指定医院体检，供应商需提供车辆接送或报销往返车旅费用。</w:t>
      </w:r>
    </w:p>
    <w:p w14:paraId="208B29B3">
      <w:pPr>
        <w:pStyle w:val="5"/>
        <w:pageBreakBefore w:val="0"/>
        <w:kinsoku/>
        <w:wordWrap/>
        <w:overflowPunct/>
        <w:topLinePunct w:val="0"/>
        <w:autoSpaceDE/>
        <w:autoSpaceDN/>
        <w:bidi w:val="0"/>
        <w:adjustRightInd/>
        <w:snapToGrid/>
        <w:spacing w:line="560" w:lineRule="exact"/>
        <w:ind w:left="0" w:leftChars="0" w:firstLine="480"/>
        <w:textAlignment w:val="auto"/>
        <w:rPr>
          <w:rFonts w:hint="eastAsia" w:eastAsiaTheme="minorEastAsia"/>
          <w:lang w:eastAsia="zh-CN"/>
        </w:rPr>
      </w:pPr>
      <w:r>
        <w:rPr>
          <w:rFonts w:hint="eastAsia" w:ascii="仿宋_GB2312" w:hAnsi="仿宋_GB2312" w:eastAsia="仿宋_GB2312" w:cs="仿宋_GB2312"/>
          <w:b w:val="0"/>
          <w:bCs w:val="0"/>
          <w:kern w:val="0"/>
          <w:sz w:val="32"/>
          <w:szCs w:val="32"/>
          <w:highlight w:val="none"/>
          <w:lang w:val="en-US" w:eastAsia="zh-CN" w:bidi="ar-SA"/>
        </w:rPr>
        <w:t xml:space="preserve">3. 应急照射后体检：在接到各成员单位的体检需求后，供应商应立即做出响应，根据体检人员的数量，安排配备专业设备的体检车上门开展体检工作，或者安排车辆接送体检人员前往指定医院进行体检。  </w:t>
      </w:r>
    </w:p>
    <w:p w14:paraId="50557E03">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lang w:val="en-US" w:eastAsia="zh-CN"/>
        </w:rPr>
      </w:pPr>
      <w:r>
        <w:rPr>
          <w:rFonts w:hint="eastAsia" w:ascii="楷体" w:hAnsi="楷体" w:eastAsia="楷体" w:cs="楷体"/>
          <w:b w:val="0"/>
          <w:bCs w:val="0"/>
          <w:kern w:val="0"/>
          <w:sz w:val="32"/>
          <w:szCs w:val="32"/>
          <w:highlight w:val="none"/>
          <w:lang w:val="en-US" w:eastAsia="zh-CN" w:bidi="ar-SA"/>
        </w:rPr>
        <w:t>（三）服务时间</w:t>
      </w:r>
      <w:r>
        <w:rPr>
          <w:rFonts w:hint="eastAsia" w:ascii="仿宋_GB2312" w:hAnsi="仿宋_GB2312" w:eastAsia="仿宋_GB2312" w:cs="仿宋_GB2312"/>
          <w:b w:val="0"/>
          <w:bCs w:val="0"/>
          <w:kern w:val="0"/>
          <w:sz w:val="32"/>
          <w:szCs w:val="32"/>
          <w:highlight w:val="none"/>
          <w:lang w:val="en-US" w:eastAsia="zh-CN" w:bidi="ar-SA"/>
        </w:rPr>
        <w:t>： 年 月 日至 年 月 日</w:t>
      </w:r>
    </w:p>
    <w:p w14:paraId="140E6D6C">
      <w:pPr>
        <w:pStyle w:val="2"/>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（四）报价要求：</w:t>
      </w:r>
      <w:r>
        <w:rPr>
          <w:rFonts w:hint="eastAsia" w:ascii="仿宋_GB2312" w:hAnsi="仿宋_GB2312" w:eastAsia="仿宋_GB2312" w:cs="仿宋_GB2312"/>
          <w:b w:val="0"/>
          <w:bCs w:val="0"/>
          <w:kern w:val="0"/>
          <w:sz w:val="32"/>
          <w:szCs w:val="32"/>
          <w:highlight w:val="none"/>
          <w:lang w:val="en-US" w:eastAsia="zh-CN" w:bidi="ar-SA"/>
        </w:rPr>
        <w:t>按体检类型分项报价（岗前/在岗/离岗/应急），不含个人剂量监测费用。</w:t>
      </w:r>
    </w:p>
    <w:p w14:paraId="6A76388F">
      <w:pPr>
        <w:pStyle w:val="3"/>
        <w:ind w:firstLine="640" w:firstLineChars="200"/>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（五）采购方式：</w:t>
      </w:r>
      <w:r>
        <w:rPr>
          <w:rFonts w:hint="eastAsia" w:ascii="仿宋_GB2312" w:hAnsi="仿宋_GB2312" w:eastAsia="仿宋_GB2312" w:cs="仿宋_GB2312"/>
          <w:b w:val="0"/>
          <w:bCs w:val="0"/>
          <w:kern w:val="0"/>
          <w:sz w:val="32"/>
          <w:szCs w:val="32"/>
          <w:highlight w:val="none"/>
          <w:lang w:val="en-US" w:eastAsia="zh-CN" w:bidi="ar-SA"/>
        </w:rPr>
        <w:t>公开遴选</w:t>
      </w:r>
    </w:p>
    <w:p w14:paraId="0C11DC3D">
      <w:pPr>
        <w:ind w:firstLine="640" w:firstLineChars="200"/>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val="0"/>
          <w:bCs w:val="0"/>
          <w:color w:val="auto"/>
          <w:kern w:val="0"/>
          <w:sz w:val="32"/>
          <w:szCs w:val="32"/>
          <w:highlight w:val="none"/>
          <w:lang w:val="en-US" w:eastAsia="zh-CN" w:bidi="ar-SA"/>
        </w:rPr>
        <w:t>（六）付款方式：</w:t>
      </w:r>
      <w:r>
        <w:rPr>
          <w:rFonts w:hint="eastAsia" w:ascii="仿宋_GB2312" w:hAnsi="仿宋_GB2312" w:eastAsia="仿宋_GB2312" w:cs="仿宋_GB2312"/>
          <w:b w:val="0"/>
          <w:bCs w:val="0"/>
          <w:kern w:val="0"/>
          <w:sz w:val="32"/>
          <w:szCs w:val="32"/>
          <w:highlight w:val="none"/>
          <w:lang w:val="en-US" w:eastAsia="zh-CN" w:bidi="ar-SA"/>
        </w:rPr>
        <w:t>各成员单位可根据自身实际需求自主选择监测项目并签订采购合同，每半年按照成交单价和实际体检人员数量进行据实结算。各成员单位每半年依据服务内容及要求对入选供应商进行考核。若考核合格，则支付该半年体检总费用的 100%；若考核不合格，供应商需在 7 天内完成整改，整改合格后按该半年体检总费用的 90%进行支付。若第一次整改后仍未通过考核，将给予第二次 7 天的整改期限，整改合格后按该半年体检总费用的 80%支付；若第二次整改后依旧未通过考核，将给予第三次 7 天的整改期限，整改合格后按该半年体检总费用的 70%支付；若第三次整改后仍然不合格，各成员单位有权终止合同，且无需支付后续费用。</w:t>
      </w:r>
    </w:p>
    <w:p w14:paraId="4FCBF3D8">
      <w:pPr>
        <w:ind w:firstLine="640" w:firstLineChars="200"/>
        <w:rPr>
          <w:rFonts w:hint="eastAsia" w:ascii="仿宋_GB2312" w:hAnsi="仿宋_GB2312" w:eastAsia="仿宋_GB2312" w:cs="仿宋_GB2312"/>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（七）验收标准及方法：</w:t>
      </w:r>
      <w:r>
        <w:rPr>
          <w:rFonts w:hint="eastAsia" w:ascii="仿宋_GB2312" w:hAnsi="仿宋_GB2312" w:eastAsia="仿宋_GB2312" w:cs="仿宋_GB2312"/>
          <w:b w:val="0"/>
          <w:bCs w:val="0"/>
          <w:kern w:val="0"/>
          <w:sz w:val="32"/>
          <w:szCs w:val="32"/>
          <w:highlight w:val="none"/>
          <w:lang w:val="en-US" w:eastAsia="zh-CN" w:bidi="ar-SA"/>
        </w:rPr>
        <w:t>按国家有关规定、采购文件的服务要求、投标人的投标文件及承诺以及合同约定的标准且参照财政部关于进一步加强政府采购需求和履约验收管理（财库〔2016〕205号）的指导意见进行验收。</w:t>
      </w:r>
    </w:p>
    <w:p w14:paraId="268E81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 xml:space="preserve">四、供应商应具备的条件及需要递交的资料 </w:t>
      </w:r>
    </w:p>
    <w:p w14:paraId="573A8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（一）供应商应具备的条件</w:t>
      </w:r>
    </w:p>
    <w:p w14:paraId="242C2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1. 具备独立承担民事责任的能力；</w:t>
      </w:r>
    </w:p>
    <w:p w14:paraId="4E792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2. 拥有良好的商业信誉以及健全的财务会计制度；</w:t>
      </w:r>
    </w:p>
    <w:p w14:paraId="7946F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3. 具备履行合同所必需的设备和专业技术能力；</w:t>
      </w:r>
    </w:p>
    <w:p w14:paraId="28DF7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4. 有依法缴纳税收和社会保障资金的良好记录；</w:t>
      </w:r>
    </w:p>
    <w:p w14:paraId="58CFB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5. 参加本次需求调查活动前三年内，在经营活动中无重大违法记录；</w:t>
      </w:r>
    </w:p>
    <w:p w14:paraId="45F6FE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6. 遵守国家法律法规，拥有良好的信誉和诚实的商业道德。供应商在参加遴选活动前的信用记录未被列入失信被执行人名单、重大税收违法案件当事人名单、政府采购严重违法失信等行为名单，需保存信用记录结果网页截图作为响应文件的一部分；</w:t>
      </w:r>
    </w:p>
    <w:p w14:paraId="23F46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宋体"/>
          <w:lang w:eastAsia="zh-CN"/>
        </w:rPr>
      </w:pPr>
      <w:r>
        <w:rPr>
          <w:rFonts w:hint="eastAsia" w:ascii="仿宋_GB2312" w:hAnsi="仿宋_GB2312" w:eastAsia="仿宋_GB2312" w:cs="仿宋_GB2312"/>
          <w:b w:val="0"/>
          <w:bCs w:val="0"/>
          <w:kern w:val="0"/>
          <w:sz w:val="32"/>
          <w:szCs w:val="32"/>
          <w:highlight w:val="none"/>
          <w:lang w:val="en-US" w:eastAsia="zh-CN" w:bidi="ar-SA"/>
        </w:rPr>
        <w:t>7. 所提供的产品及服务符合国家相关法律法规及行业标准；</w:t>
      </w:r>
    </w:p>
    <w:p w14:paraId="240618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8. 参与调研方具备放射卫生技术服务机构资质证书，其技术服务范围包括：放射诊疗建设项目职业病危害放射防护评价、放射卫生防护检测、个人剂量监测；</w:t>
      </w:r>
    </w:p>
    <w:p w14:paraId="2E4B2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 xml:space="preserve">9. 具备检验检测机构资质认定证书（CMA证书）。 </w:t>
      </w:r>
    </w:p>
    <w:p w14:paraId="7F6D2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kern w:val="0"/>
          <w:sz w:val="32"/>
          <w:szCs w:val="32"/>
          <w:highlight w:val="none"/>
          <w:lang w:val="en-US" w:eastAsia="zh-CN" w:bidi="ar-SA"/>
        </w:rPr>
      </w:pPr>
      <w:r>
        <w:rPr>
          <w:rFonts w:hint="eastAsia" w:ascii="楷体" w:hAnsi="楷体" w:eastAsia="楷体" w:cs="楷体"/>
          <w:b w:val="0"/>
          <w:bCs w:val="0"/>
          <w:kern w:val="0"/>
          <w:sz w:val="32"/>
          <w:szCs w:val="32"/>
          <w:highlight w:val="none"/>
          <w:lang w:val="en-US" w:eastAsia="zh-CN" w:bidi="ar-SA"/>
        </w:rPr>
        <w:t>（二）供应商需递交的资料</w:t>
      </w:r>
    </w:p>
    <w:p w14:paraId="26842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1.承诺函、报名函、授权书[若法定代表人参加的，须提供本人身份证复印件(原件备查)；若授权代表参加的，须提供《法定代表人授权委托书》原件和授权代表身份证复印件（原件备查）]、报价单（见附件）；</w:t>
      </w:r>
    </w:p>
    <w:p w14:paraId="2AFB8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2.公司所有资质、信用记录查询网页截图；</w:t>
      </w:r>
    </w:p>
    <w:p w14:paraId="3C4A8E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560"/>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3.资质证明文件：营业执照、放射卫生技术服务机构资质证书等。</w:t>
      </w:r>
      <w:r>
        <w:rPr>
          <w:rFonts w:hint="eastAsia" w:ascii="仿宋_GB2312" w:hAnsi="仿宋_GB2312" w:eastAsia="仿宋_GB2312" w:cs="仿宋_GB2312"/>
          <w:kern w:val="0"/>
          <w:sz w:val="32"/>
          <w:szCs w:val="32"/>
          <w:highlight w:val="none"/>
          <w:lang w:val="en-US" w:eastAsia="zh-CN" w:bidi="ar-SA"/>
        </w:rPr>
        <w:t>检验检测机构资质认定证书及附表等必要证件；</w:t>
      </w:r>
    </w:p>
    <w:p w14:paraId="4F820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4.提交的所有资料须合法、真实、有效、清晰，并加盖鲜章，并在首页编制目录。</w:t>
      </w:r>
    </w:p>
    <w:p w14:paraId="44A2D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5.提交资料须密封提交；</w:t>
      </w:r>
    </w:p>
    <w:p w14:paraId="510F1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6.若为联合体投标时，需分别提供主体和联合体投标项目的相关资质材料。</w:t>
      </w:r>
    </w:p>
    <w:p w14:paraId="24B199B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right="0" w:rightChars="0" w:firstLine="643" w:firstLineChars="200"/>
        <w:textAlignment w:val="auto"/>
        <w:rPr>
          <w:rFonts w:hint="eastAsia" w:ascii="黑体" w:hAnsi="黑体" w:eastAsia="黑体" w:cs="黑体"/>
          <w:b/>
          <w:bCs/>
          <w:i w:val="0"/>
          <w:iCs w:val="0"/>
          <w:caps w:val="0"/>
          <w:color w:val="auto"/>
          <w:spacing w:val="0"/>
          <w:sz w:val="32"/>
          <w:szCs w:val="32"/>
          <w:u w:val="none"/>
          <w:lang w:val="en-US" w:eastAsia="zh-CN"/>
        </w:rPr>
      </w:pPr>
      <w:r>
        <w:rPr>
          <w:rFonts w:hint="eastAsia" w:ascii="黑体" w:hAnsi="黑体" w:eastAsia="黑体" w:cs="黑体"/>
          <w:b/>
          <w:bCs/>
          <w:i w:val="0"/>
          <w:iCs w:val="0"/>
          <w:caps w:val="0"/>
          <w:color w:val="auto"/>
          <w:spacing w:val="0"/>
          <w:sz w:val="32"/>
          <w:szCs w:val="32"/>
          <w:u w:val="none"/>
          <w:lang w:val="en-US" w:eastAsia="zh-CN"/>
        </w:rPr>
        <w:t>五、递交市场调研资料方式（邮寄或现场递交）</w:t>
      </w:r>
    </w:p>
    <w:p w14:paraId="334AA91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（一）参与调研报名截止时间及方式</w:t>
      </w:r>
      <w:r>
        <w:rPr>
          <w:rFonts w:hint="eastAsia" w:ascii="仿宋_GB2312" w:hAnsi="仿宋_GB2312" w:eastAsia="仿宋_GB2312" w:cs="仿宋_GB2312"/>
          <w:color w:val="FF0000"/>
          <w:kern w:val="0"/>
          <w:sz w:val="32"/>
          <w:szCs w:val="32"/>
          <w:highlight w:val="none"/>
          <w:lang w:val="en-US" w:eastAsia="zh-CN" w:bidi="ar-SA"/>
        </w:rPr>
        <w:t>：2025年12月26日08:30</w:t>
      </w:r>
      <w:r>
        <w:rPr>
          <w:rFonts w:hint="eastAsia" w:ascii="仿宋_GB2312" w:hAnsi="仿宋_GB2312" w:eastAsia="仿宋_GB2312" w:cs="仿宋_GB2312"/>
          <w:color w:val="auto"/>
          <w:kern w:val="0"/>
          <w:sz w:val="32"/>
          <w:szCs w:val="32"/>
          <w:highlight w:val="none"/>
          <w:lang w:val="en-US" w:eastAsia="zh-CN" w:bidi="ar-SA"/>
        </w:rPr>
        <w:t>，逾期将不再受理。</w:t>
      </w:r>
    </w:p>
    <w:p w14:paraId="0CE840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（二）报名地点：富顺县医共体总医院药械采购与药事管理中心办公室。</w:t>
      </w:r>
    </w:p>
    <w:p w14:paraId="2C2FDE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3" w:firstLineChars="200"/>
        <w:textAlignment w:val="auto"/>
        <w:rPr>
          <w:rFonts w:hint="eastAsia" w:ascii="黑体" w:hAnsi="黑体" w:eastAsia="黑体" w:cs="黑体"/>
          <w:b/>
          <w:bCs/>
          <w:kern w:val="0"/>
          <w:sz w:val="32"/>
          <w:szCs w:val="32"/>
          <w:highlight w:val="none"/>
          <w:lang w:val="en-US" w:eastAsia="zh-CN" w:bidi="ar-SA"/>
        </w:rPr>
      </w:pPr>
      <w:r>
        <w:rPr>
          <w:rFonts w:hint="eastAsia" w:ascii="黑体" w:hAnsi="黑体" w:eastAsia="黑体" w:cs="黑体"/>
          <w:b/>
          <w:bCs/>
          <w:kern w:val="0"/>
          <w:sz w:val="32"/>
          <w:szCs w:val="32"/>
          <w:highlight w:val="none"/>
          <w:lang w:val="en-US" w:eastAsia="zh-CN" w:bidi="ar-SA"/>
        </w:rPr>
        <w:t>五、联系方式及地址</w:t>
      </w:r>
    </w:p>
    <w:p w14:paraId="1EB575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药械采购中心联系人：张老师</w:t>
      </w:r>
    </w:p>
    <w:p w14:paraId="7A6EF7E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联系电话：18187087618</w:t>
      </w:r>
    </w:p>
    <w:p w14:paraId="3C7F1C1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联系地址：四川省富顺县富世镇吉祥路490号</w:t>
      </w:r>
    </w:p>
    <w:p w14:paraId="179DBA0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如有其他疑问，请及时联系。</w:t>
      </w:r>
    </w:p>
    <w:p w14:paraId="186543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p>
    <w:p w14:paraId="2EE0EA88">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rightChars="0" w:firstLine="640" w:firstLineChars="200"/>
        <w:jc w:val="right"/>
        <w:textAlignment w:val="auto"/>
        <w:outlineLvl w:val="9"/>
        <w:rPr>
          <w:rFonts w:hint="eastAsia" w:ascii="仿宋" w:hAnsi="仿宋" w:eastAsia="仿宋" w:cs="仿宋"/>
          <w:i w:val="0"/>
          <w:iCs w:val="0"/>
          <w:caps w:val="0"/>
          <w:color w:val="auto"/>
          <w:spacing w:val="0"/>
          <w:sz w:val="32"/>
          <w:szCs w:val="32"/>
          <w:u w:val="none"/>
        </w:rPr>
      </w:pPr>
    </w:p>
    <w:p w14:paraId="068E2BAC">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仿宋" w:hAnsi="仿宋" w:eastAsia="仿宋" w:cs="仿宋"/>
          <w:i w:val="0"/>
          <w:iCs w:val="0"/>
          <w:caps w:val="0"/>
          <w:color w:val="auto"/>
          <w:spacing w:val="0"/>
          <w:sz w:val="32"/>
          <w:szCs w:val="32"/>
          <w:u w:val="none"/>
        </w:rPr>
      </w:pPr>
    </w:p>
    <w:p w14:paraId="2E70FB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right"/>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富顺县医共体总医院</w:t>
      </w:r>
    </w:p>
    <w:p w14:paraId="00AADA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jc w:val="center"/>
        <w:textAlignment w:val="auto"/>
        <w:outlineLvl w:val="9"/>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 xml:space="preserve">                                2025年12月23日</w:t>
      </w:r>
    </w:p>
    <w:p w14:paraId="5FF24D8A">
      <w:pPr>
        <w:pStyle w:val="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u w:val="none"/>
        </w:rPr>
      </w:pPr>
      <w:bookmarkStart w:id="0" w:name="_GoBack"/>
      <w:bookmarkEnd w:id="0"/>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1D06D-4C8C-4544-8374-085AD72285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E728862F-9B89-4BE0-B1F2-5424265FBD87}"/>
  </w:font>
  <w:font w:name="仿宋_GB2312">
    <w:altName w:val="仿宋"/>
    <w:panose1 w:val="02010609030101010101"/>
    <w:charset w:val="86"/>
    <w:family w:val="auto"/>
    <w:pitch w:val="default"/>
    <w:sig w:usb0="00000000" w:usb1="00000000" w:usb2="00000000" w:usb3="00000000" w:csb0="00040000" w:csb1="00000000"/>
    <w:embedRegular r:id="rId3" w:fontKey="{A3A79F73-C0DE-4210-80DA-8F319325406E}"/>
  </w:font>
  <w:font w:name="仿宋">
    <w:panose1 w:val="02010609060101010101"/>
    <w:charset w:val="86"/>
    <w:family w:val="auto"/>
    <w:pitch w:val="default"/>
    <w:sig w:usb0="800002BF" w:usb1="38CF7CFA" w:usb2="00000016" w:usb3="00000000" w:csb0="00040001" w:csb1="00000000"/>
    <w:embedRegular r:id="rId4" w:fontKey="{9D722AA9-EDA9-4ABC-9F8A-704CE113DD0A}"/>
  </w:font>
  <w:font w:name="楷体">
    <w:panose1 w:val="02010609060101010101"/>
    <w:charset w:val="86"/>
    <w:family w:val="auto"/>
    <w:pitch w:val="default"/>
    <w:sig w:usb0="800002BF" w:usb1="38CF7CFA" w:usb2="00000016" w:usb3="00000000" w:csb0="00040001" w:csb1="00000000"/>
    <w:embedRegular r:id="rId5" w:fontKey="{C7F41050-BA88-40D4-87C1-D4D846F44C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ZDAxZTJiOWU5NDYxOGQ4YTg1M2E5Mzc4OTFhZmMifQ=="/>
  </w:docVars>
  <w:rsids>
    <w:rsidRoot w:val="00172A27"/>
    <w:rsid w:val="005F037B"/>
    <w:rsid w:val="015F2C24"/>
    <w:rsid w:val="01DD3C4D"/>
    <w:rsid w:val="04897679"/>
    <w:rsid w:val="055C757F"/>
    <w:rsid w:val="064424ED"/>
    <w:rsid w:val="07AA637F"/>
    <w:rsid w:val="081A04CF"/>
    <w:rsid w:val="0998157E"/>
    <w:rsid w:val="09F67411"/>
    <w:rsid w:val="0A3444AB"/>
    <w:rsid w:val="0A385572"/>
    <w:rsid w:val="0A6822EE"/>
    <w:rsid w:val="0BBF3913"/>
    <w:rsid w:val="0BF54696"/>
    <w:rsid w:val="0D6B65B1"/>
    <w:rsid w:val="0E5E1C72"/>
    <w:rsid w:val="0E722510"/>
    <w:rsid w:val="0EE52004"/>
    <w:rsid w:val="107F6C98"/>
    <w:rsid w:val="10835D48"/>
    <w:rsid w:val="10D317D7"/>
    <w:rsid w:val="11D64215"/>
    <w:rsid w:val="150317C5"/>
    <w:rsid w:val="15097310"/>
    <w:rsid w:val="15AA7A35"/>
    <w:rsid w:val="17FA373E"/>
    <w:rsid w:val="18FD1024"/>
    <w:rsid w:val="193F3921"/>
    <w:rsid w:val="1952076B"/>
    <w:rsid w:val="1A130669"/>
    <w:rsid w:val="1A141EEF"/>
    <w:rsid w:val="1A5B71E7"/>
    <w:rsid w:val="1ACC29CE"/>
    <w:rsid w:val="1B966EEF"/>
    <w:rsid w:val="1BAF1D5E"/>
    <w:rsid w:val="1CA820BE"/>
    <w:rsid w:val="1E0B5246"/>
    <w:rsid w:val="1F2E5690"/>
    <w:rsid w:val="1FD1636E"/>
    <w:rsid w:val="20F14BC7"/>
    <w:rsid w:val="21EB72AD"/>
    <w:rsid w:val="220A5F40"/>
    <w:rsid w:val="22A21664"/>
    <w:rsid w:val="230C6566"/>
    <w:rsid w:val="23B41AAD"/>
    <w:rsid w:val="23FD3952"/>
    <w:rsid w:val="244B077F"/>
    <w:rsid w:val="24CD1BD9"/>
    <w:rsid w:val="25CD1139"/>
    <w:rsid w:val="26BE554B"/>
    <w:rsid w:val="26C12FA3"/>
    <w:rsid w:val="27167136"/>
    <w:rsid w:val="28137B19"/>
    <w:rsid w:val="290175D3"/>
    <w:rsid w:val="298834A6"/>
    <w:rsid w:val="29B32E70"/>
    <w:rsid w:val="2AD0284B"/>
    <w:rsid w:val="2BEA7BB6"/>
    <w:rsid w:val="2C2422F5"/>
    <w:rsid w:val="2C951F38"/>
    <w:rsid w:val="2D9D72E3"/>
    <w:rsid w:val="2DBF48E6"/>
    <w:rsid w:val="2DC90030"/>
    <w:rsid w:val="2E92439F"/>
    <w:rsid w:val="2EB26A68"/>
    <w:rsid w:val="2FCF0EAB"/>
    <w:rsid w:val="300C274B"/>
    <w:rsid w:val="30526D09"/>
    <w:rsid w:val="332C08AF"/>
    <w:rsid w:val="339E0DDD"/>
    <w:rsid w:val="33A37FA3"/>
    <w:rsid w:val="34004232"/>
    <w:rsid w:val="363E2205"/>
    <w:rsid w:val="36B96571"/>
    <w:rsid w:val="36F80606"/>
    <w:rsid w:val="37093294"/>
    <w:rsid w:val="38211DDE"/>
    <w:rsid w:val="3A851821"/>
    <w:rsid w:val="3B984165"/>
    <w:rsid w:val="3C9653C8"/>
    <w:rsid w:val="3CB925E5"/>
    <w:rsid w:val="3D000381"/>
    <w:rsid w:val="3DA9000B"/>
    <w:rsid w:val="3DF45037"/>
    <w:rsid w:val="3E151A9D"/>
    <w:rsid w:val="3E7B104E"/>
    <w:rsid w:val="3EA82911"/>
    <w:rsid w:val="3F88629F"/>
    <w:rsid w:val="3FD76C77"/>
    <w:rsid w:val="44073946"/>
    <w:rsid w:val="45250832"/>
    <w:rsid w:val="4535729C"/>
    <w:rsid w:val="46217E34"/>
    <w:rsid w:val="476E1F79"/>
    <w:rsid w:val="4A1947E6"/>
    <w:rsid w:val="4AC218A1"/>
    <w:rsid w:val="4B1A6945"/>
    <w:rsid w:val="4C6267F5"/>
    <w:rsid w:val="4CC4707B"/>
    <w:rsid w:val="4E351260"/>
    <w:rsid w:val="4E7E71EB"/>
    <w:rsid w:val="4EF31987"/>
    <w:rsid w:val="50543FB0"/>
    <w:rsid w:val="51624BA2"/>
    <w:rsid w:val="521C7446"/>
    <w:rsid w:val="524E3378"/>
    <w:rsid w:val="52E63242"/>
    <w:rsid w:val="54407E57"/>
    <w:rsid w:val="55B300C2"/>
    <w:rsid w:val="55E02EEE"/>
    <w:rsid w:val="5640122A"/>
    <w:rsid w:val="56B75990"/>
    <w:rsid w:val="56EA7B13"/>
    <w:rsid w:val="57191DCB"/>
    <w:rsid w:val="57630795"/>
    <w:rsid w:val="57B277DD"/>
    <w:rsid w:val="57E50AB2"/>
    <w:rsid w:val="587C0C3F"/>
    <w:rsid w:val="59D05B43"/>
    <w:rsid w:val="5C1838FB"/>
    <w:rsid w:val="5CBD29A0"/>
    <w:rsid w:val="5CCC0FA4"/>
    <w:rsid w:val="5D577585"/>
    <w:rsid w:val="5D794C28"/>
    <w:rsid w:val="5DF32D34"/>
    <w:rsid w:val="5E2C27BF"/>
    <w:rsid w:val="5E7E38F0"/>
    <w:rsid w:val="5EC073AC"/>
    <w:rsid w:val="5FBB029F"/>
    <w:rsid w:val="60487A4B"/>
    <w:rsid w:val="60F33F59"/>
    <w:rsid w:val="619533B6"/>
    <w:rsid w:val="625A59BE"/>
    <w:rsid w:val="62E73159"/>
    <w:rsid w:val="65D57BE0"/>
    <w:rsid w:val="67CC0B6F"/>
    <w:rsid w:val="69CF4947"/>
    <w:rsid w:val="69ED72BB"/>
    <w:rsid w:val="6A4F3582"/>
    <w:rsid w:val="6A9B19C7"/>
    <w:rsid w:val="6ACE7C5F"/>
    <w:rsid w:val="6ACF7E3F"/>
    <w:rsid w:val="6B3929BF"/>
    <w:rsid w:val="6B427AC6"/>
    <w:rsid w:val="6B7C56A3"/>
    <w:rsid w:val="6BAD42F8"/>
    <w:rsid w:val="6D6535F8"/>
    <w:rsid w:val="6D94212F"/>
    <w:rsid w:val="6D981E62"/>
    <w:rsid w:val="6DFF38CC"/>
    <w:rsid w:val="6E032E11"/>
    <w:rsid w:val="6E8216C5"/>
    <w:rsid w:val="707075AB"/>
    <w:rsid w:val="70965C47"/>
    <w:rsid w:val="71A0417E"/>
    <w:rsid w:val="71CF7BDA"/>
    <w:rsid w:val="71D40D4C"/>
    <w:rsid w:val="738F101A"/>
    <w:rsid w:val="74485A21"/>
    <w:rsid w:val="74576909"/>
    <w:rsid w:val="749D7B1B"/>
    <w:rsid w:val="76650B0D"/>
    <w:rsid w:val="7A100D8F"/>
    <w:rsid w:val="7A8451C7"/>
    <w:rsid w:val="7A9A484C"/>
    <w:rsid w:val="7DA54365"/>
    <w:rsid w:val="7E5D6C25"/>
    <w:rsid w:val="7F86368D"/>
    <w:rsid w:val="7FC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unhideWhenUsed/>
    <w:qFormat/>
    <w:uiPriority w:val="99"/>
    <w:pPr>
      <w:ind w:firstLine="420" w:firstLineChars="100"/>
    </w:pPr>
  </w:style>
  <w:style w:type="paragraph" w:styleId="5">
    <w:name w:val="Normal Indent"/>
    <w:basedOn w:val="1"/>
    <w:semiHidden/>
    <w:unhideWhenUsed/>
    <w:qFormat/>
    <w:uiPriority w:val="0"/>
    <w:pPr>
      <w:ind w:firstLine="420" w:firstLineChars="200"/>
    </w:pPr>
    <w:rPr>
      <w:rFonts w:asciiTheme="minorHAnsi" w:hAnsiTheme="minorHAnsi" w:eastAsiaTheme="minorEastAsia" w:cstheme="minorBidi"/>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2303</Words>
  <Characters>2472</Characters>
  <Lines>0</Lines>
  <Paragraphs>0</Paragraphs>
  <TotalTime>1</TotalTime>
  <ScaleCrop>false</ScaleCrop>
  <LinksUpToDate>false</LinksUpToDate>
  <CharactersWithSpaces>2543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2023-05-18T07:31:00Z</dcterms:created>
  <dc:creator>Administrator</dc:creator>
  <cp:lastModifiedBy>纳米•ั็ω•็ั☞老人家</cp:lastModifiedBy>
  <cp:lastPrinted>2024-01-22T08:29:00Z</cp:lastPrinted>
  <dcterms:modified xsi:type="dcterms:W3CDTF">2025-12-22T07:59:56Z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A9142C7325944A69ADA15DC5266D1C92_11</vt:lpwstr>
  </property>
  <property fmtid="{D5CDD505-2E9C-101B-9397-08002B2CF9AE}" pid="4" name="KSOTemplateDocerSaveRecord">
    <vt:lpwstr>eyJoZGlkIjoiMjQ1ZTMwMzU1NjYzMDlmMGJiZGJmNDZlMzcxMzc4OWEiLCJ1c2VySWQiOiIyMDk2OTE1NjcifQ==</vt:lpwstr>
  </property>
</Properties>
</file>