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2EFAD">
      <w:pPr>
        <w:pStyle w:val="2"/>
        <w:pageBreakBefore w:val="0"/>
        <w:widowControl w:val="0"/>
        <w:kinsoku/>
        <w:wordWrap/>
        <w:overflowPunct/>
        <w:topLinePunct w:val="0"/>
        <w:autoSpaceDE/>
        <w:autoSpaceDN/>
        <w:bidi w:val="0"/>
        <w:adjustRightInd/>
        <w:snapToGrid/>
        <w:spacing w:before="0" w:beforeLines="0" w:after="0" w:afterLines="0" w:line="480" w:lineRule="exact"/>
        <w:jc w:val="center"/>
        <w:textAlignment w:val="auto"/>
        <w:rPr>
          <w:rFonts w:hint="eastAsia" w:ascii="方正小标宋简体" w:hAnsi="方正小标宋简体" w:eastAsia="方正小标宋简体" w:cs="方正小标宋简体"/>
          <w:b w:val="0"/>
          <w:bCs/>
          <w:color w:val="auto"/>
          <w:sz w:val="40"/>
          <w:szCs w:val="22"/>
          <w:highlight w:val="none"/>
          <w:lang w:val="en-US" w:eastAsia="zh-CN"/>
        </w:rPr>
      </w:pPr>
      <w:r>
        <w:rPr>
          <w:rFonts w:hint="eastAsia" w:ascii="方正小标宋简体" w:hAnsi="方正小标宋简体" w:eastAsia="方正小标宋简体" w:cs="方正小标宋简体"/>
          <w:b w:val="0"/>
          <w:bCs/>
          <w:color w:val="auto"/>
          <w:sz w:val="40"/>
          <w:szCs w:val="22"/>
          <w:highlight w:val="none"/>
        </w:rPr>
        <w:t>富顺县中医医院</w:t>
      </w:r>
      <w:r>
        <w:rPr>
          <w:rFonts w:hint="eastAsia" w:ascii="方正小标宋简体" w:hAnsi="方正小标宋简体" w:eastAsia="方正小标宋简体" w:cs="方正小标宋简体"/>
          <w:b w:val="0"/>
          <w:bCs/>
          <w:color w:val="auto"/>
          <w:sz w:val="40"/>
          <w:szCs w:val="22"/>
          <w:highlight w:val="none"/>
          <w:lang w:val="en-US" w:eastAsia="zh-CN"/>
        </w:rPr>
        <w:t>2027年</w:t>
      </w:r>
      <w:r>
        <w:rPr>
          <w:rFonts w:hint="eastAsia" w:ascii="方正小标宋简体" w:hAnsi="方正小标宋简体" w:eastAsia="方正小标宋简体" w:cs="方正小标宋简体"/>
          <w:b w:val="0"/>
          <w:bCs/>
          <w:color w:val="auto"/>
          <w:sz w:val="40"/>
          <w:szCs w:val="22"/>
          <w:highlight w:val="none"/>
        </w:rPr>
        <w:t>直购电服务</w:t>
      </w:r>
      <w:r>
        <w:rPr>
          <w:rFonts w:hint="eastAsia" w:ascii="方正小标宋简体" w:hAnsi="方正小标宋简体" w:eastAsia="方正小标宋简体" w:cs="方正小标宋简体"/>
          <w:b w:val="0"/>
          <w:bCs/>
          <w:color w:val="auto"/>
          <w:sz w:val="40"/>
          <w:szCs w:val="22"/>
          <w:highlight w:val="none"/>
          <w:lang w:val="en-US" w:eastAsia="zh-CN"/>
        </w:rPr>
        <w:t>采购项目</w:t>
      </w:r>
    </w:p>
    <w:p w14:paraId="186EBEBD">
      <w:pPr>
        <w:pStyle w:val="2"/>
        <w:pageBreakBefore w:val="0"/>
        <w:widowControl w:val="0"/>
        <w:kinsoku/>
        <w:wordWrap/>
        <w:overflowPunct/>
        <w:topLinePunct w:val="0"/>
        <w:autoSpaceDE/>
        <w:autoSpaceDN/>
        <w:bidi w:val="0"/>
        <w:adjustRightInd/>
        <w:snapToGrid/>
        <w:spacing w:before="0" w:beforeLines="0" w:after="0" w:afterLines="0" w:line="480" w:lineRule="exact"/>
        <w:jc w:val="center"/>
        <w:textAlignment w:val="auto"/>
        <w:rPr>
          <w:rFonts w:hint="default" w:ascii="方正小标宋简体" w:hAnsi="方正小标宋简体" w:eastAsia="方正小标宋简体" w:cs="方正小标宋简体"/>
          <w:b w:val="0"/>
          <w:bCs/>
          <w:color w:val="auto"/>
          <w:sz w:val="40"/>
          <w:szCs w:val="22"/>
          <w:highlight w:val="none"/>
          <w:shd w:val="clear" w:color="auto" w:fill="auto"/>
          <w:lang w:val="en-US"/>
        </w:rPr>
      </w:pPr>
      <w:r>
        <w:rPr>
          <w:rFonts w:hint="eastAsia" w:ascii="方正小标宋简体" w:hAnsi="方正小标宋简体" w:eastAsia="方正小标宋简体" w:cs="方正小标宋简体"/>
          <w:b w:val="0"/>
          <w:bCs/>
          <w:color w:val="auto"/>
          <w:sz w:val="40"/>
          <w:szCs w:val="22"/>
          <w:highlight w:val="none"/>
          <w:lang w:val="en-US" w:eastAsia="zh-CN"/>
        </w:rPr>
        <w:t>采购需求</w:t>
      </w:r>
    </w:p>
    <w:p w14:paraId="38D45C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0"/>
          <w:szCs w:val="30"/>
          <w:highlight w:val="none"/>
          <w:shd w:val="clear" w:color="auto" w:fill="auto"/>
          <w:lang w:val="en-US" w:eastAsia="zh-CN"/>
        </w:rPr>
      </w:pPr>
    </w:p>
    <w:p w14:paraId="5D45A252">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一、供应商资格、资质性要求</w:t>
      </w:r>
    </w:p>
    <w:p w14:paraId="19F4A902">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1.符合《中华人民共和国政府采购法》第二十二条资格条件：</w:t>
      </w:r>
    </w:p>
    <w:p w14:paraId="3F344AB3">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（1）具有独立承担民事责任的能力；</w:t>
      </w:r>
    </w:p>
    <w:p w14:paraId="3AC552C0">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（2）具有良好的商业信誉和健全的财务会计制度；</w:t>
      </w:r>
    </w:p>
    <w:p w14:paraId="03D1A4B8">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（3）具有履行合同所必需的设备和专业技术能力；</w:t>
      </w:r>
    </w:p>
    <w:p w14:paraId="2DEEBC32">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（4）有依法缴纳税收和社会保障资金的良好记录；</w:t>
      </w:r>
    </w:p>
    <w:p w14:paraId="6E19EFDB">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（5）参加政府采购活动前三年内，在经营活动中没有重大违法记录；</w:t>
      </w:r>
    </w:p>
    <w:p w14:paraId="4B4D331D">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（6）法律、行政法规规定的其他条件。</w:t>
      </w:r>
    </w:p>
    <w:p w14:paraId="05B638ED">
      <w:pPr>
        <w:keepNext w:val="0"/>
        <w:keepLines w:val="0"/>
        <w:pageBreakBefore w:val="0"/>
        <w:kinsoku/>
        <w:wordWrap/>
        <w:overflowPunct/>
        <w:topLinePunct w:val="0"/>
        <w:autoSpaceDE/>
        <w:autoSpaceDN/>
        <w:bidi w:val="0"/>
        <w:adjustRightInd/>
        <w:snapToGrid/>
        <w:spacing w:beforeAutospacing="0"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auto"/>
          <w:kern w:val="2"/>
          <w:sz w:val="30"/>
          <w:szCs w:val="30"/>
          <w:highlight w:val="none"/>
          <w:shd w:val="clear" w:color="auto" w:fill="auto"/>
          <w:lang w:val="en-US" w:eastAsia="zh-CN" w:bidi="ar-SA"/>
        </w:rPr>
        <w:t>2.</w:t>
      </w:r>
      <w:r>
        <w:rPr>
          <w:rFonts w:hint="eastAsia" w:ascii="仿宋" w:hAnsi="仿宋" w:eastAsia="仿宋" w:cs="仿宋"/>
          <w:sz w:val="30"/>
          <w:szCs w:val="30"/>
        </w:rPr>
        <w:t>参加本次招投标活动前的三年内未被国家企业信用信息公示系统列为严重违法失信企业名单。</w:t>
      </w:r>
    </w:p>
    <w:p w14:paraId="505D5BC1">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color w:val="auto"/>
          <w:kern w:val="2"/>
          <w:sz w:val="30"/>
          <w:szCs w:val="30"/>
          <w:highlight w:val="none"/>
          <w:shd w:val="clear" w:color="auto" w:fill="auto"/>
          <w:lang w:val="en-US" w:eastAsia="zh-CN" w:bidi="ar-SA"/>
        </w:rPr>
        <w:t>3.特殊资格要求：</w:t>
      </w:r>
      <w:r>
        <w:rPr>
          <w:rFonts w:hint="eastAsia" w:ascii="仿宋" w:hAnsi="仿宋" w:eastAsia="仿宋" w:cs="仿宋"/>
          <w:b w:val="0"/>
          <w:bCs w:val="0"/>
          <w:sz w:val="30"/>
          <w:szCs w:val="30"/>
          <w:highlight w:val="none"/>
          <w:lang w:val="en-US" w:eastAsia="zh-CN"/>
        </w:rPr>
        <w:t>投标人属于四川省能源局或四川电力交易中心有限公司公布的“关于同意售电公司纳入售电侧市场主体目录的函”的单位（公告内容包含投标人名称）。</w:t>
      </w:r>
    </w:p>
    <w:p w14:paraId="1EB4849D">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default"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二、项目概况</w:t>
      </w:r>
    </w:p>
    <w:p w14:paraId="1AAA3080">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1.项目名称：富顺县中医医院2027年直购电服务采购项目</w:t>
      </w:r>
    </w:p>
    <w:p w14:paraId="333E66A1">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kern w:val="2"/>
          <w:sz w:val="30"/>
          <w:szCs w:val="30"/>
          <w:highlight w:val="none"/>
          <w:shd w:val="clear" w:color="auto" w:fill="auto"/>
          <w:lang w:val="en-US" w:eastAsia="zh-CN" w:bidi="ar-SA"/>
        </w:rPr>
        <w:t>2.采购年限：2027年1月1日-2027年12月31日，共计1年。</w:t>
      </w:r>
    </w:p>
    <w:p w14:paraId="33FD856F">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color w:val="auto"/>
          <w:kern w:val="2"/>
          <w:sz w:val="30"/>
          <w:szCs w:val="30"/>
          <w:highlight w:val="none"/>
          <w:shd w:val="clear" w:color="auto" w:fill="auto"/>
          <w:lang w:val="en-US" w:eastAsia="zh-CN" w:bidi="ar-SA"/>
        </w:rPr>
        <w:t>3.采购预算：</w:t>
      </w:r>
      <w:r>
        <w:rPr>
          <w:rFonts w:hint="eastAsia" w:ascii="仿宋" w:hAnsi="仿宋" w:eastAsia="仿宋" w:cs="仿宋"/>
          <w:color w:val="auto"/>
          <w:sz w:val="30"/>
          <w:szCs w:val="30"/>
          <w:highlight w:val="none"/>
          <w:shd w:val="clear" w:color="auto" w:fill="auto"/>
          <w:lang w:val="en-US" w:eastAsia="zh-CN"/>
        </w:rPr>
        <w:t>420万元（人民币大写：肆佰贰拾万元整）。</w:t>
      </w:r>
      <w:r>
        <w:rPr>
          <w:rFonts w:hint="eastAsia" w:ascii="仿宋" w:hAnsi="仿宋" w:eastAsia="仿宋" w:cs="仿宋"/>
          <w:b w:val="0"/>
          <w:bCs w:val="0"/>
          <w:sz w:val="30"/>
          <w:szCs w:val="30"/>
          <w:highlight w:val="none"/>
          <w:lang w:val="en-US" w:eastAsia="zh-CN"/>
        </w:rPr>
        <w:t>本项目采购预算为采购人全年电网电费，包含：（市场交易电价+电费单价中除市场交易电价外的组成部分）*预估电量。</w:t>
      </w:r>
    </w:p>
    <w:p w14:paraId="5A493B1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color w:val="auto"/>
          <w:kern w:val="2"/>
          <w:sz w:val="30"/>
          <w:szCs w:val="30"/>
          <w:highlight w:val="none"/>
          <w:shd w:val="clear" w:color="auto" w:fill="auto"/>
          <w:lang w:val="en-US" w:eastAsia="zh-CN" w:bidi="ar-SA"/>
        </w:rPr>
        <w:t>4.采购内容：本项目包括2027年富顺县中医医院直购电服务及电力运维免费服务（包含预试预检1次/年、季度巡检4次/年）。</w:t>
      </w:r>
    </w:p>
    <w:p w14:paraId="50A5330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kern w:val="2"/>
          <w:sz w:val="30"/>
          <w:szCs w:val="30"/>
          <w:highlight w:val="none"/>
          <w:shd w:val="clear" w:color="auto" w:fill="auto"/>
          <w:lang w:val="en-US" w:eastAsia="zh-CN" w:bidi="ar-SA"/>
        </w:rPr>
        <w:t>5.预估电量：</w:t>
      </w:r>
      <w:r>
        <w:rPr>
          <w:rFonts w:hint="eastAsia" w:ascii="仿宋" w:hAnsi="仿宋" w:eastAsia="仿宋" w:cs="仿宋"/>
          <w:color w:val="auto"/>
          <w:sz w:val="30"/>
          <w:szCs w:val="30"/>
          <w:highlight w:val="none"/>
          <w:shd w:val="clear" w:color="auto" w:fill="auto"/>
          <w:lang w:val="en-US" w:eastAsia="zh-CN"/>
        </w:rPr>
        <w:t>预估电量仅作为参考，以实际用电量为准，按照市场交易电价进行结算：</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2116"/>
        <w:gridCol w:w="2116"/>
        <w:gridCol w:w="2120"/>
        <w:gridCol w:w="1897"/>
      </w:tblGrid>
      <w:tr w14:paraId="741B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B8C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月份</w:t>
            </w:r>
          </w:p>
        </w:tc>
        <w:tc>
          <w:tcPr>
            <w:tcW w:w="38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D06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户号：预估电量（兆瓦时）</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52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合计（兆瓦时）</w:t>
            </w:r>
          </w:p>
        </w:tc>
      </w:tr>
      <w:tr w14:paraId="132C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2ED6">
            <w:pPr>
              <w:pageBreakBefore w:val="0"/>
              <w:kinsoku/>
              <w:wordWrap/>
              <w:overflowPunct/>
              <w:topLinePunct w:val="0"/>
              <w:autoSpaceDE/>
              <w:autoSpaceDN/>
              <w:bidi w:val="0"/>
              <w:adjustRightInd/>
              <w:snapToGrid/>
              <w:spacing w:line="480" w:lineRule="exact"/>
              <w:jc w:val="center"/>
              <w:rPr>
                <w:rFonts w:hint="eastAsia" w:ascii="仿宋" w:hAnsi="仿宋" w:eastAsia="仿宋" w:cs="仿宋"/>
                <w:i w:val="0"/>
                <w:iCs w:val="0"/>
                <w:color w:val="000000"/>
                <w:sz w:val="24"/>
                <w:szCs w:val="24"/>
                <w:u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1B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5100288999652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2C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5101046201387</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BC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5101204377862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4E53">
            <w:pPr>
              <w:pageBreakBefore w:val="0"/>
              <w:kinsoku/>
              <w:wordWrap/>
              <w:overflowPunct/>
              <w:topLinePunct w:val="0"/>
              <w:autoSpaceDE/>
              <w:autoSpaceDN/>
              <w:bidi w:val="0"/>
              <w:adjustRightInd/>
              <w:snapToGrid/>
              <w:spacing w:line="480" w:lineRule="exact"/>
              <w:jc w:val="center"/>
              <w:rPr>
                <w:rFonts w:hint="eastAsia" w:ascii="仿宋" w:hAnsi="仿宋" w:eastAsia="仿宋" w:cs="仿宋"/>
                <w:i w:val="0"/>
                <w:iCs w:val="0"/>
                <w:color w:val="000000"/>
                <w:sz w:val="24"/>
                <w:szCs w:val="24"/>
                <w:u w:val="none"/>
              </w:rPr>
            </w:pPr>
          </w:p>
        </w:tc>
      </w:tr>
      <w:tr w14:paraId="328B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9C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D5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35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350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AF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FB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450.7</w:t>
            </w:r>
          </w:p>
        </w:tc>
      </w:tr>
      <w:tr w14:paraId="4F2B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1B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F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6F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36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09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390.4</w:t>
            </w:r>
          </w:p>
        </w:tc>
      </w:tr>
      <w:tr w14:paraId="6AE0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0A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55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9C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280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D6F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44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350.5</w:t>
            </w:r>
          </w:p>
        </w:tc>
      </w:tr>
      <w:tr w14:paraId="5671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2F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7F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C2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280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04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25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335.2</w:t>
            </w:r>
          </w:p>
        </w:tc>
      </w:tr>
      <w:tr w14:paraId="4291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56E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3B4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48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83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B8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360.2</w:t>
            </w:r>
          </w:p>
        </w:tc>
      </w:tr>
      <w:tr w14:paraId="41F8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16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51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73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8D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02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585.3</w:t>
            </w:r>
          </w:p>
        </w:tc>
      </w:tr>
      <w:tr w14:paraId="400C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AEF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6C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12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720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2A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E2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840.7</w:t>
            </w:r>
          </w:p>
        </w:tc>
      </w:tr>
      <w:tr w14:paraId="2DFA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4D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E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538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760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6C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2A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880.9</w:t>
            </w:r>
          </w:p>
        </w:tc>
      </w:tr>
      <w:tr w14:paraId="0E42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DC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B5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689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84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D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585.8</w:t>
            </w:r>
          </w:p>
        </w:tc>
      </w:tr>
      <w:tr w14:paraId="5D9D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3AA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61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36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320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1C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67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375.3</w:t>
            </w:r>
          </w:p>
        </w:tc>
      </w:tr>
      <w:tr w14:paraId="7504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1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A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71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280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0E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B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340.3</w:t>
            </w:r>
          </w:p>
        </w:tc>
      </w:tr>
      <w:tr w14:paraId="2A75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81C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0A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DF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E1C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FE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390.7</w:t>
            </w:r>
          </w:p>
        </w:tc>
      </w:tr>
      <w:tr w14:paraId="1C99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F4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A6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990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50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4890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86D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80C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sz w:val="24"/>
                <w:szCs w:val="24"/>
                <w:u w:val="none"/>
                <w:lang w:val="en-US" w:eastAsia="zh-CN"/>
              </w:rPr>
              <w:t>5886</w:t>
            </w:r>
          </w:p>
        </w:tc>
      </w:tr>
    </w:tbl>
    <w:p w14:paraId="7564774E">
      <w:pPr>
        <w:pStyle w:val="14"/>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黑体" w:hAnsi="黑体" w:eastAsia="黑体" w:cs="黑体"/>
          <w:b w:val="0"/>
          <w:bCs/>
          <w:sz w:val="30"/>
          <w:szCs w:val="30"/>
          <w:lang w:val="en-US" w:eastAsia="zh-CN"/>
        </w:rPr>
      </w:pPr>
      <w:r>
        <w:rPr>
          <w:rFonts w:hint="eastAsia" w:ascii="仿宋" w:hAnsi="仿宋" w:eastAsia="仿宋" w:cs="仿宋"/>
          <w:b w:val="0"/>
          <w:bCs w:val="0"/>
          <w:sz w:val="30"/>
          <w:szCs w:val="30"/>
          <w:highlight w:val="none"/>
          <w:lang w:val="en-US" w:eastAsia="zh-CN"/>
        </w:rPr>
        <w:t>★</w:t>
      </w:r>
      <w:r>
        <w:rPr>
          <w:rFonts w:hint="eastAsia" w:ascii="黑体" w:hAnsi="黑体" w:eastAsia="黑体" w:cs="黑体"/>
          <w:b w:val="0"/>
          <w:bCs/>
          <w:sz w:val="30"/>
          <w:szCs w:val="30"/>
          <w:lang w:val="en-US" w:eastAsia="zh-CN"/>
        </w:rPr>
        <w:t>三、服务要求</w:t>
      </w:r>
    </w:p>
    <w:p w14:paraId="775B651D">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1.投标人须熟知直购电政策，向采购人提供购电代理交易服务，协助采购人申请办理直购电有关手续（协助办理过程中所产生的费用由投标人全部承担）。</w:t>
      </w:r>
    </w:p>
    <w:p w14:paraId="01E565B8">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2.向采购人提供月度、季度、年度用电数据分析服务，分析内容应体现直购电服务的经济效用（履约期内同等用电量情况下节省电费支出的具体数据及购电价格的组成数据），同时根据采购人历史用电行为特征 、用电需求等特点，从行业特点、客户价值、用电需求等方面进行分析，为采购人提供用电建议。均形成报告反馈至采购人。</w:t>
      </w:r>
    </w:p>
    <w:p w14:paraId="0E2A7F34">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3.向采购人提供交易规则、电价政策、电费补贴等政策咨询服务。</w:t>
      </w:r>
    </w:p>
    <w:p w14:paraId="67496CC9">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0000FF"/>
          <w:sz w:val="30"/>
          <w:szCs w:val="30"/>
          <w:highlight w:val="none"/>
          <w:lang w:val="en-US" w:eastAsia="zh-CN"/>
        </w:rPr>
      </w:pPr>
      <w:r>
        <w:rPr>
          <w:rFonts w:hint="eastAsia" w:ascii="仿宋" w:hAnsi="仿宋" w:eastAsia="仿宋" w:cs="仿宋"/>
          <w:b w:val="0"/>
          <w:bCs w:val="0"/>
          <w:sz w:val="30"/>
          <w:szCs w:val="30"/>
          <w:highlight w:val="none"/>
          <w:lang w:val="en-US" w:eastAsia="zh-CN"/>
        </w:rPr>
        <w:t>4.投标人须向采购人提供真实准确的有关电力直接交易的相关信息及资料，不得提供虚假的或误导性的信息。</w:t>
      </w:r>
      <w:r>
        <w:rPr>
          <w:rFonts w:hint="eastAsia" w:ascii="仿宋" w:hAnsi="仿宋" w:eastAsia="仿宋" w:cs="仿宋"/>
          <w:b w:val="0"/>
          <w:bCs w:val="0"/>
          <w:color w:val="0000FF"/>
          <w:sz w:val="30"/>
          <w:szCs w:val="30"/>
          <w:highlight w:val="none"/>
          <w:lang w:val="en-US" w:eastAsia="zh-CN"/>
        </w:rPr>
        <w:t>（提供承诺函，格式自拟）</w:t>
      </w:r>
    </w:p>
    <w:p w14:paraId="12500FF1">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0000FF"/>
          <w:sz w:val="30"/>
          <w:szCs w:val="30"/>
          <w:highlight w:val="none"/>
          <w:lang w:val="en-US" w:eastAsia="zh-CN"/>
        </w:rPr>
      </w:pPr>
      <w:r>
        <w:rPr>
          <w:rFonts w:hint="eastAsia" w:ascii="仿宋" w:hAnsi="仿宋" w:eastAsia="仿宋" w:cs="仿宋"/>
          <w:b w:val="0"/>
          <w:bCs w:val="0"/>
          <w:sz w:val="30"/>
          <w:szCs w:val="30"/>
          <w:highlight w:val="none"/>
          <w:lang w:val="en-US" w:eastAsia="zh-CN"/>
        </w:rPr>
        <w:t>5.依据四川电力市场有关交易规则及年度指导意见计算的偏差电量考核费由投标人全部承担。</w:t>
      </w:r>
      <w:r>
        <w:rPr>
          <w:rFonts w:hint="eastAsia" w:ascii="仿宋" w:hAnsi="仿宋" w:eastAsia="仿宋" w:cs="仿宋"/>
          <w:b w:val="0"/>
          <w:bCs w:val="0"/>
          <w:color w:val="0000FF"/>
          <w:sz w:val="30"/>
          <w:szCs w:val="30"/>
          <w:highlight w:val="none"/>
          <w:lang w:val="en-US" w:eastAsia="zh-CN"/>
        </w:rPr>
        <w:t>（提供承诺函，格式自拟）</w:t>
      </w:r>
    </w:p>
    <w:p w14:paraId="073EEA06">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6.供电保障：</w:t>
      </w:r>
    </w:p>
    <w:p w14:paraId="50CD5DAC">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（1）根据采购人单位作为医疗机构的特殊性质，全面开展高危及重要电安全隐患排查咨询。</w:t>
      </w:r>
    </w:p>
    <w:p w14:paraId="0B654E73">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（2）对采购人进行用电培训，做好停电事故应急预案，防止发生供电安全责任事故，提高安全用电管理水平，营造安全、稳定、和谐的供用电环境。</w:t>
      </w:r>
    </w:p>
    <w:p w14:paraId="31D3F3EE">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（3）通过分析电能量采集装置的实时数据，为采购人诊断电网运行的经济性，安全性。</w:t>
      </w:r>
    </w:p>
    <w:p w14:paraId="4753FE82">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7.后续服务：派遣电力工程师到采购人单位了解分析用电设备及其负荷，协助采购人管理部门做好用电负荷及电量预测。</w:t>
      </w:r>
    </w:p>
    <w:p w14:paraId="08AA5892">
      <w:pPr>
        <w:pStyle w:val="14"/>
        <w:keepNext w:val="0"/>
        <w:keepLines w:val="0"/>
        <w:pageBreakBefore w:val="0"/>
        <w:kinsoku/>
        <w:wordWrap/>
        <w:overflowPunct/>
        <w:topLinePunct w:val="0"/>
        <w:autoSpaceDE/>
        <w:autoSpaceDN/>
        <w:bidi w:val="0"/>
        <w:adjustRightInd/>
        <w:snapToGrid/>
        <w:spacing w:beforeAutospacing="0" w:line="480" w:lineRule="exact"/>
        <w:ind w:left="596" w:leftChars="284" w:firstLine="0" w:firstLineChars="0"/>
        <w:jc w:val="left"/>
        <w:textAlignment w:val="auto"/>
        <w:rPr>
          <w:rFonts w:hint="eastAsia" w:ascii="仿宋" w:hAnsi="仿宋" w:eastAsia="仿宋" w:cs="仿宋"/>
          <w:color w:val="auto"/>
          <w:kern w:val="2"/>
          <w:sz w:val="30"/>
          <w:szCs w:val="30"/>
          <w:highlight w:val="none"/>
          <w:shd w:val="clear" w:color="auto" w:fill="auto"/>
          <w:lang w:val="en-US" w:eastAsia="zh-CN" w:bidi="ar-SA"/>
        </w:rPr>
      </w:pPr>
      <w:r>
        <w:rPr>
          <w:rFonts w:hint="eastAsia" w:ascii="仿宋" w:hAnsi="仿宋" w:eastAsia="仿宋" w:cs="仿宋"/>
          <w:b w:val="0"/>
          <w:bCs w:val="0"/>
          <w:sz w:val="30"/>
          <w:szCs w:val="30"/>
          <w:highlight w:val="none"/>
          <w:lang w:val="en-US" w:eastAsia="zh-CN"/>
        </w:rPr>
        <w:t>8.</w:t>
      </w:r>
      <w:r>
        <w:rPr>
          <w:rFonts w:hint="eastAsia" w:ascii="仿宋" w:hAnsi="仿宋" w:eastAsia="仿宋" w:cs="仿宋"/>
          <w:color w:val="auto"/>
          <w:sz w:val="30"/>
          <w:szCs w:val="30"/>
          <w:highlight w:val="none"/>
          <w:shd w:val="clear" w:color="auto" w:fill="auto"/>
          <w:lang w:val="en-US" w:eastAsia="zh-CN"/>
        </w:rPr>
        <w:t>电力运维服务</w:t>
      </w:r>
      <w:r>
        <w:rPr>
          <w:rFonts w:hint="eastAsia" w:ascii="仿宋" w:hAnsi="仿宋" w:eastAsia="仿宋" w:cs="仿宋"/>
          <w:color w:val="auto"/>
          <w:kern w:val="2"/>
          <w:sz w:val="30"/>
          <w:szCs w:val="30"/>
          <w:highlight w:val="none"/>
          <w:shd w:val="clear" w:color="auto" w:fill="auto"/>
          <w:lang w:val="en-US" w:eastAsia="zh-CN" w:bidi="ar-SA"/>
        </w:rPr>
        <w:t>（包含预试预检1次/年、季度巡检4次/年）：</w:t>
      </w:r>
    </w:p>
    <w:p w14:paraId="730CE6C9">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（1）对采购人的变压器、高压柜、环网柜、电力电缆、接地系统等免费进行预试预检。</w:t>
      </w:r>
    </w:p>
    <w:p w14:paraId="5DC73AB1">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（2）对供电安全管理，加强装表接电、采集终端安装、用电检查等现场作业的安全管控提出合理建议。</w:t>
      </w:r>
    </w:p>
    <w:p w14:paraId="6F3F427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 xml:space="preserve">    （3）服务清单（表格如下）：</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200"/>
        <w:gridCol w:w="4200"/>
        <w:gridCol w:w="800"/>
        <w:gridCol w:w="866"/>
        <w:gridCol w:w="1229"/>
      </w:tblGrid>
      <w:tr w14:paraId="418F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9A3D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B4F3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项目名称</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84D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检测保养描述</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086C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895F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8A28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B7E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C793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2C87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变压器</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7653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1.测量绕组直流电阻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2.变压器相位检测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3.绕组、铁芯绝缘测试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4.交流耐压试验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5.校核变压器接线组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6.变压器散热风机检查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7.温控仪高温报警检查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8.温控仪高温跳闸功能检查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9.变压器防护外罩壳、检修门检查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10.支撑绝缘瓷瓶、接地系统检查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11.比差测试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12.工频耐压试验</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3C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AA0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7938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含三个配电室的绝缘器具（绝缘鞋，绝缘手套，试电笔，接地装置，安全帽等）</w:t>
            </w:r>
          </w:p>
        </w:tc>
      </w:tr>
      <w:tr w14:paraId="156D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588A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6FAB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高压柜</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3CDD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2.交流耐压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3.导电回路电阻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4.继保调试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5.断路器调试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6.避雷器调试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7.互感器调试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8.断路器分合闸测试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9.继电保护整组传动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10.继保精度测试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11.二次回路绝缘测试</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23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5E90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5FEB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14:paraId="4038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92DC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AB2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环网柜</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D230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2.交流耐压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3.导电回路电阻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4.避雷器调试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5.互感器调试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6.二次回路绝缘测试</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BE46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66E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3F47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14:paraId="14ED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1B1E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0C6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电力电缆</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E00B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2.直流耐压试验</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78C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8F0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7025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14:paraId="5D7B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75F6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BCA3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接地系统</w:t>
            </w:r>
          </w:p>
        </w:tc>
        <w:tc>
          <w:tcPr>
            <w:tcW w:w="2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6456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1.接地电阻测试</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EC4A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F113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4C07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14:paraId="4026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6FEE1D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sz w:val="24"/>
                <w:szCs w:val="24"/>
                <w:shd w:val="clear" w:fill="FFFFFF"/>
              </w:rPr>
              <w:t>服务要求：严格按照Q/GDW519-2010国家电网公司企业标准《配电网运行规程》和国家对电力运行维保的相关规定和规范标准对医院10KV变配电设施设备进行维护、保养，完成变配电年检预试1次并根据国家规范要求出具检测报告，每季度定期巡检，提供24小时应急服务及技术支持，期限</w:t>
            </w: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年。</w:t>
            </w:r>
          </w:p>
        </w:tc>
      </w:tr>
    </w:tbl>
    <w:p w14:paraId="3CF8FEB9">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textAlignment w:val="auto"/>
        <w:rPr>
          <w:rFonts w:hint="default" w:ascii="黑体" w:hAnsi="黑体" w:eastAsia="黑体" w:cs="黑体"/>
          <w:b w:val="0"/>
          <w:bCs/>
          <w:sz w:val="30"/>
          <w:szCs w:val="30"/>
          <w:highlight w:val="none"/>
          <w:lang w:val="en-US" w:eastAsia="zh-CN"/>
        </w:rPr>
      </w:pPr>
      <w:r>
        <w:rPr>
          <w:rFonts w:hint="eastAsia" w:ascii="黑体" w:hAnsi="黑体" w:eastAsia="黑体" w:cs="黑体"/>
          <w:b w:val="0"/>
          <w:bCs w:val="0"/>
          <w:sz w:val="30"/>
          <w:szCs w:val="30"/>
          <w:highlight w:val="none"/>
          <w:lang w:val="en-US" w:eastAsia="zh-CN"/>
        </w:rPr>
        <w:t>★四</w:t>
      </w:r>
      <w:r>
        <w:rPr>
          <w:rFonts w:hint="eastAsia" w:ascii="黑体" w:hAnsi="黑体" w:eastAsia="黑体" w:cs="黑体"/>
          <w:b w:val="0"/>
          <w:bCs/>
          <w:sz w:val="30"/>
          <w:szCs w:val="30"/>
          <w:highlight w:val="none"/>
          <w:lang w:val="en-US" w:eastAsia="zh-CN"/>
        </w:rPr>
        <w:t>、其他要求</w:t>
      </w:r>
    </w:p>
    <w:p w14:paraId="4BD8799E">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1.在合同履约期内，若因政策变化导致电费结算办法或签约方式发生改变，则按照最新政策执行。若因政策变化导致原合同无法继续履约，则双方根据政策要求友好协商执行。</w:t>
      </w:r>
    </w:p>
    <w:p w14:paraId="10EDEB55">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2.本招标文件中若有与相关法规有出入的，按照相关法规执行。 投标人应针对采购人行业特点和采购需求结合政策背景，分析项目实施中可能会发生的重点难点问题，并给出解决方案。 </w:t>
      </w:r>
    </w:p>
    <w:p w14:paraId="1C68DAF0">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3.投标人需具有承担本项目的类似经验，并提供相关证明材料。 </w:t>
      </w:r>
    </w:p>
    <w:p w14:paraId="0201D562">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0000FF"/>
          <w:sz w:val="30"/>
          <w:szCs w:val="30"/>
          <w:highlight w:val="none"/>
          <w:lang w:val="en-US" w:eastAsia="zh-CN"/>
        </w:rPr>
      </w:pPr>
      <w:r>
        <w:rPr>
          <w:rFonts w:hint="eastAsia" w:ascii="仿宋" w:hAnsi="仿宋" w:eastAsia="仿宋" w:cs="仿宋"/>
          <w:b w:val="0"/>
          <w:bCs w:val="0"/>
          <w:sz w:val="30"/>
          <w:szCs w:val="30"/>
          <w:highlight w:val="none"/>
          <w:lang w:val="en-US" w:eastAsia="zh-CN"/>
        </w:rPr>
        <w:t>4.供应商需保持在四川省电力交易中心无不良记录。</w:t>
      </w:r>
      <w:r>
        <w:rPr>
          <w:rFonts w:hint="eastAsia" w:ascii="仿宋" w:hAnsi="仿宋" w:eastAsia="仿宋" w:cs="仿宋"/>
          <w:b w:val="0"/>
          <w:bCs w:val="0"/>
          <w:color w:val="0000FF"/>
          <w:sz w:val="30"/>
          <w:szCs w:val="30"/>
          <w:highlight w:val="none"/>
          <w:lang w:val="en-US" w:eastAsia="zh-CN"/>
        </w:rPr>
        <w:t>（提供承诺函，格式自拟）</w:t>
      </w:r>
    </w:p>
    <w:p w14:paraId="1510B3C1">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0000FF"/>
          <w:sz w:val="30"/>
          <w:szCs w:val="30"/>
          <w:highlight w:val="none"/>
          <w:lang w:val="en-US" w:eastAsia="zh-CN"/>
        </w:rPr>
      </w:pPr>
      <w:r>
        <w:rPr>
          <w:rFonts w:hint="eastAsia" w:ascii="仿宋" w:hAnsi="仿宋" w:eastAsia="仿宋" w:cs="仿宋"/>
          <w:b w:val="0"/>
          <w:bCs w:val="0"/>
          <w:sz w:val="30"/>
          <w:szCs w:val="30"/>
          <w:highlight w:val="none"/>
          <w:lang w:val="en-US" w:eastAsia="zh-CN"/>
        </w:rPr>
        <w:t>5.违约责任：如因中标人工作人员在履行职务过程中的的疏忽、失职、过错等故意或者过失原因给甲方造成损失或侵害，包括但不限于甲方本身的财产损失、由此而导致的甲方对任何第三方的法律责任等，乙方对此均应承担全部的赔偿责任。</w:t>
      </w:r>
      <w:r>
        <w:rPr>
          <w:rFonts w:hint="eastAsia" w:ascii="仿宋" w:hAnsi="仿宋" w:eastAsia="仿宋" w:cs="仿宋"/>
          <w:b w:val="0"/>
          <w:bCs w:val="0"/>
          <w:color w:val="0000FF"/>
          <w:sz w:val="30"/>
          <w:szCs w:val="30"/>
          <w:highlight w:val="none"/>
          <w:lang w:val="en-US" w:eastAsia="zh-CN"/>
        </w:rPr>
        <w:t xml:space="preserve">（提供承诺函，格式自拟） </w:t>
      </w:r>
    </w:p>
    <w:p w14:paraId="06925499">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★五、</w:t>
      </w:r>
      <w:r>
        <w:rPr>
          <w:rFonts w:hint="eastAsia" w:ascii="黑体" w:hAnsi="黑体" w:eastAsia="黑体" w:cs="黑体"/>
          <w:b w:val="0"/>
          <w:bCs/>
          <w:color w:val="auto"/>
          <w:sz w:val="30"/>
          <w:szCs w:val="30"/>
          <w:highlight w:val="none"/>
          <w:lang w:val="en-US" w:eastAsia="zh-CN"/>
        </w:rPr>
        <w:t>报价方式</w:t>
      </w:r>
    </w:p>
    <w:p w14:paraId="7CB512D8">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shd w:val="clear" w:color="auto" w:fill="auto"/>
          <w:lang w:val="en-US" w:eastAsia="zh-CN"/>
        </w:rPr>
        <w:t>1.</w:t>
      </w:r>
      <w:r>
        <w:rPr>
          <w:rFonts w:hint="eastAsia" w:ascii="仿宋" w:hAnsi="仿宋" w:eastAsia="仿宋" w:cs="仿宋"/>
          <w:b w:val="0"/>
          <w:bCs w:val="0"/>
          <w:color w:val="auto"/>
          <w:sz w:val="30"/>
          <w:szCs w:val="30"/>
          <w:highlight w:val="none"/>
          <w:lang w:val="en-US" w:eastAsia="zh-CN"/>
        </w:rPr>
        <w:t>联动价格:</w:t>
      </w:r>
      <w:r>
        <w:rPr>
          <w:rFonts w:hint="eastAsia" w:ascii="仿宋" w:hAnsi="仿宋" w:eastAsia="仿宋" w:cs="仿宋"/>
          <w:color w:val="auto"/>
          <w:sz w:val="30"/>
          <w:szCs w:val="30"/>
          <w:highlight w:val="none"/>
          <w:shd w:val="clear" w:color="auto" w:fill="auto"/>
          <w:lang w:val="en-US" w:eastAsia="zh-CN"/>
        </w:rPr>
        <w:t>投标人须</w:t>
      </w:r>
      <w:r>
        <w:rPr>
          <w:rFonts w:hint="eastAsia" w:ascii="仿宋" w:hAnsi="仿宋" w:eastAsia="仿宋" w:cs="仿宋"/>
          <w:color w:val="auto"/>
          <w:sz w:val="30"/>
          <w:szCs w:val="30"/>
          <w:highlight w:val="none"/>
          <w:shd w:val="clear" w:color="auto" w:fill="auto"/>
        </w:rPr>
        <w:t>对</w:t>
      </w:r>
      <w:r>
        <w:rPr>
          <w:rFonts w:hint="eastAsia" w:ascii="仿宋" w:hAnsi="仿宋" w:eastAsia="仿宋" w:cs="仿宋"/>
          <w:color w:val="auto"/>
          <w:sz w:val="30"/>
          <w:szCs w:val="30"/>
          <w:highlight w:val="none"/>
          <w:shd w:val="clear" w:color="auto" w:fill="auto"/>
          <w:lang w:val="en-US" w:eastAsia="zh-CN"/>
        </w:rPr>
        <w:t>市场交易电价的联动价格进行报价，保留整数</w:t>
      </w:r>
      <w:r>
        <w:rPr>
          <w:rFonts w:hint="eastAsia" w:ascii="仿宋" w:hAnsi="仿宋" w:eastAsia="仿宋" w:cs="仿宋"/>
          <w:b w:val="0"/>
          <w:bCs w:val="0"/>
          <w:color w:val="auto"/>
          <w:sz w:val="30"/>
          <w:szCs w:val="30"/>
          <w:highlight w:val="none"/>
          <w:lang w:val="en-US" w:eastAsia="zh-CN"/>
        </w:rPr>
        <w:t>。</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480"/>
        <w:gridCol w:w="1622"/>
        <w:gridCol w:w="2082"/>
      </w:tblGrid>
      <w:tr w14:paraId="56F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3C472FD">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472" w:type="pct"/>
            <w:vAlign w:val="center"/>
          </w:tcPr>
          <w:p w14:paraId="6CDC27DE">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《购售电合同》相关内容</w:t>
            </w:r>
          </w:p>
        </w:tc>
        <w:tc>
          <w:tcPr>
            <w:tcW w:w="895" w:type="pct"/>
            <w:vAlign w:val="center"/>
          </w:tcPr>
          <w:p w14:paraId="00E2BF6C">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rPr>
              <w:t>计量单位</w:t>
            </w:r>
          </w:p>
        </w:tc>
        <w:tc>
          <w:tcPr>
            <w:tcW w:w="1149" w:type="pct"/>
            <w:vAlign w:val="center"/>
          </w:tcPr>
          <w:p w14:paraId="5F5E5002">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联动价格限值</w:t>
            </w:r>
          </w:p>
        </w:tc>
      </w:tr>
      <w:tr w14:paraId="0336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14:paraId="19FE6F01">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472" w:type="pct"/>
            <w:shd w:val="clear" w:color="auto" w:fill="auto"/>
            <w:vAlign w:val="center"/>
          </w:tcPr>
          <w:p w14:paraId="481D0E55">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全年联动价格比例β</w:t>
            </w:r>
          </w:p>
        </w:tc>
        <w:tc>
          <w:tcPr>
            <w:tcW w:w="895" w:type="pct"/>
            <w:shd w:val="clear" w:color="auto" w:fill="auto"/>
            <w:vAlign w:val="center"/>
          </w:tcPr>
          <w:p w14:paraId="1C308587">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lang w:val="en-US" w:eastAsia="zh-CN"/>
              </w:rPr>
              <w:t>%</w:t>
            </w:r>
          </w:p>
        </w:tc>
        <w:tc>
          <w:tcPr>
            <w:tcW w:w="1149" w:type="pct"/>
            <w:shd w:val="clear" w:color="auto" w:fill="auto"/>
            <w:vAlign w:val="center"/>
          </w:tcPr>
          <w:p w14:paraId="2516EEF2">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5≦β≦10</w:t>
            </w:r>
          </w:p>
        </w:tc>
      </w:tr>
      <w:tr w14:paraId="5A35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8701820">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2472" w:type="pct"/>
            <w:vAlign w:val="center"/>
          </w:tcPr>
          <w:p w14:paraId="29F94945">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全年售电公司批零收益分享基准</w:t>
            </w:r>
          </w:p>
        </w:tc>
        <w:tc>
          <w:tcPr>
            <w:tcW w:w="895" w:type="pct"/>
            <w:vAlign w:val="center"/>
          </w:tcPr>
          <w:p w14:paraId="13CE2C47">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rPr>
              <w:t>元/兆瓦时</w:t>
            </w:r>
          </w:p>
        </w:tc>
        <w:tc>
          <w:tcPr>
            <w:tcW w:w="1149" w:type="pct"/>
            <w:vAlign w:val="center"/>
          </w:tcPr>
          <w:p w14:paraId="18045742">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w:t>
            </w:r>
          </w:p>
        </w:tc>
      </w:tr>
      <w:tr w14:paraId="255C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ABB9727">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2472" w:type="pct"/>
            <w:vAlign w:val="center"/>
          </w:tcPr>
          <w:p w14:paraId="00E8034B">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售电公司批零收益分享比例ε</w:t>
            </w:r>
          </w:p>
        </w:tc>
        <w:tc>
          <w:tcPr>
            <w:tcW w:w="895" w:type="pct"/>
            <w:vAlign w:val="center"/>
          </w:tcPr>
          <w:p w14:paraId="665CC8F8">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lang w:val="en-US" w:eastAsia="zh-CN"/>
              </w:rPr>
              <w:t>%</w:t>
            </w:r>
          </w:p>
        </w:tc>
        <w:tc>
          <w:tcPr>
            <w:tcW w:w="1149" w:type="pct"/>
            <w:vAlign w:val="center"/>
          </w:tcPr>
          <w:p w14:paraId="764158F0">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ε≧50</w:t>
            </w:r>
          </w:p>
        </w:tc>
      </w:tr>
    </w:tbl>
    <w:p w14:paraId="1844DC7E">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2.交易价格：</w:t>
      </w:r>
    </w:p>
    <w:p w14:paraId="625B8A43">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shd w:val="clear" w:color="auto" w:fill="auto"/>
          <w:lang w:val="en-US" w:eastAsia="zh-CN"/>
        </w:rPr>
        <w:t>（1）投标人须</w:t>
      </w:r>
      <w:r>
        <w:rPr>
          <w:rFonts w:hint="eastAsia" w:ascii="仿宋" w:hAnsi="仿宋" w:eastAsia="仿宋" w:cs="仿宋"/>
          <w:color w:val="auto"/>
          <w:sz w:val="30"/>
          <w:szCs w:val="30"/>
          <w:highlight w:val="none"/>
          <w:shd w:val="clear" w:color="auto" w:fill="auto"/>
        </w:rPr>
        <w:t>对</w:t>
      </w:r>
      <w:r>
        <w:rPr>
          <w:rFonts w:hint="eastAsia" w:ascii="仿宋" w:hAnsi="仿宋" w:eastAsia="仿宋" w:cs="仿宋"/>
          <w:color w:val="auto"/>
          <w:sz w:val="30"/>
          <w:szCs w:val="30"/>
          <w:highlight w:val="none"/>
          <w:shd w:val="clear" w:color="auto" w:fill="auto"/>
          <w:lang w:val="en-US" w:eastAsia="zh-CN"/>
        </w:rPr>
        <w:t>市场交易电价的交易价格进行报价（下浮率），保留至小数点后两位数</w:t>
      </w:r>
      <w:r>
        <w:rPr>
          <w:rFonts w:hint="eastAsia" w:ascii="仿宋" w:hAnsi="仿宋" w:eastAsia="仿宋" w:cs="仿宋"/>
          <w:b w:val="0"/>
          <w:bCs w:val="0"/>
          <w:color w:val="auto"/>
          <w:sz w:val="30"/>
          <w:szCs w:val="30"/>
          <w:highlight w:val="none"/>
          <w:lang w:val="en-US" w:eastAsia="zh-CN"/>
        </w:rPr>
        <w:t>。电费单价中除市场交易电价以外的组成部分为不可竞争费用，严格按照政府相关部门政策执行。</w:t>
      </w:r>
    </w:p>
    <w:p w14:paraId="47FE28A5">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（2）各月分时段电量的交易价格，对应各月分水期交易价格，</w:t>
      </w:r>
      <w:bookmarkStart w:id="0" w:name="_GoBack"/>
      <w:bookmarkEnd w:id="0"/>
      <w:r>
        <w:rPr>
          <w:rFonts w:hint="eastAsia" w:ascii="仿宋" w:hAnsi="仿宋" w:eastAsia="仿宋" w:cs="仿宋"/>
          <w:color w:val="auto"/>
          <w:sz w:val="30"/>
          <w:szCs w:val="30"/>
          <w:highlight w:val="none"/>
          <w:shd w:val="clear" w:color="auto" w:fill="auto"/>
          <w:lang w:val="en-US" w:eastAsia="zh-CN"/>
        </w:rPr>
        <w:t xml:space="preserve">最高限价不超过国家基准电价。 </w:t>
      </w:r>
    </w:p>
    <w:tbl>
      <w:tblPr>
        <w:tblStyle w:val="1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4291"/>
        <w:gridCol w:w="1946"/>
        <w:gridCol w:w="1773"/>
      </w:tblGrid>
      <w:tr w14:paraId="1A789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pct"/>
          </w:tcPr>
          <w:p w14:paraId="6938D551">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368" w:type="pct"/>
          </w:tcPr>
          <w:p w14:paraId="7652128A">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分水期</w:t>
            </w:r>
          </w:p>
        </w:tc>
        <w:tc>
          <w:tcPr>
            <w:tcW w:w="1074" w:type="pct"/>
          </w:tcPr>
          <w:p w14:paraId="017F3581">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计量单位</w:t>
            </w:r>
          </w:p>
        </w:tc>
        <w:tc>
          <w:tcPr>
            <w:tcW w:w="978" w:type="pct"/>
          </w:tcPr>
          <w:p w14:paraId="2FE38449">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最高限价</w:t>
            </w:r>
          </w:p>
        </w:tc>
      </w:tr>
      <w:tr w14:paraId="72721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pct"/>
          </w:tcPr>
          <w:p w14:paraId="43C53E48">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368" w:type="pct"/>
          </w:tcPr>
          <w:p w14:paraId="6653237C">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丰水期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6-10月</w:t>
            </w:r>
            <w:r>
              <w:rPr>
                <w:rFonts w:hint="eastAsia" w:ascii="仿宋" w:hAnsi="仿宋" w:eastAsia="仿宋" w:cs="仿宋"/>
                <w:color w:val="auto"/>
                <w:sz w:val="24"/>
                <w:szCs w:val="24"/>
                <w:lang w:eastAsia="zh-CN"/>
              </w:rPr>
              <w:t>）</w:t>
            </w:r>
          </w:p>
        </w:tc>
        <w:tc>
          <w:tcPr>
            <w:tcW w:w="1074" w:type="pct"/>
          </w:tcPr>
          <w:p w14:paraId="67173C2B">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元/兆瓦时</w:t>
            </w:r>
          </w:p>
        </w:tc>
        <w:tc>
          <w:tcPr>
            <w:tcW w:w="978" w:type="pct"/>
          </w:tcPr>
          <w:p w14:paraId="70537F5A">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211.43</w:t>
            </w:r>
          </w:p>
        </w:tc>
      </w:tr>
      <w:tr w14:paraId="3EBB9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pct"/>
          </w:tcPr>
          <w:p w14:paraId="5F813519">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368" w:type="pct"/>
          </w:tcPr>
          <w:p w14:paraId="3AFB0014">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平水期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5月、11月</w:t>
            </w:r>
            <w:r>
              <w:rPr>
                <w:rFonts w:hint="eastAsia" w:ascii="仿宋" w:hAnsi="仿宋" w:eastAsia="仿宋" w:cs="仿宋"/>
                <w:color w:val="auto"/>
                <w:sz w:val="24"/>
                <w:szCs w:val="24"/>
                <w:lang w:eastAsia="zh-CN"/>
              </w:rPr>
              <w:t>）</w:t>
            </w:r>
          </w:p>
        </w:tc>
        <w:tc>
          <w:tcPr>
            <w:tcW w:w="1074" w:type="pct"/>
          </w:tcPr>
          <w:p w14:paraId="3C1C36F9">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元/兆瓦时</w:t>
            </w:r>
          </w:p>
        </w:tc>
        <w:tc>
          <w:tcPr>
            <w:tcW w:w="978" w:type="pct"/>
          </w:tcPr>
          <w:p w14:paraId="1C9886E0">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333.84</w:t>
            </w:r>
          </w:p>
        </w:tc>
      </w:tr>
      <w:tr w14:paraId="6C8BE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pct"/>
          </w:tcPr>
          <w:p w14:paraId="6D1E89BB">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368" w:type="pct"/>
          </w:tcPr>
          <w:p w14:paraId="173272C8">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枯水期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1-4月、12月</w:t>
            </w:r>
            <w:r>
              <w:rPr>
                <w:rFonts w:hint="eastAsia" w:ascii="仿宋" w:hAnsi="仿宋" w:eastAsia="仿宋" w:cs="仿宋"/>
                <w:color w:val="auto"/>
                <w:sz w:val="24"/>
                <w:szCs w:val="24"/>
                <w:lang w:eastAsia="zh-CN"/>
              </w:rPr>
              <w:t>）</w:t>
            </w:r>
          </w:p>
        </w:tc>
        <w:tc>
          <w:tcPr>
            <w:tcW w:w="1074" w:type="pct"/>
          </w:tcPr>
          <w:p w14:paraId="5525FD01">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元/兆瓦时</w:t>
            </w:r>
          </w:p>
        </w:tc>
        <w:tc>
          <w:tcPr>
            <w:tcW w:w="978" w:type="pct"/>
          </w:tcPr>
          <w:p w14:paraId="547F341E">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415.63</w:t>
            </w:r>
          </w:p>
        </w:tc>
      </w:tr>
    </w:tbl>
    <w:p w14:paraId="1534AB2E">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textAlignment w:val="auto"/>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★六、结算方式</w:t>
      </w:r>
    </w:p>
    <w:p w14:paraId="077708DE">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 xml:space="preserve">每月据实结算。每月结算电价=每月实际到户结算电量（以供电公司计量点关口表计量的电量为准）*（市场交易电价+除市场交易电价外的电费组成部分）。合同履约期内，结算电价由采购人直接向电网企业缴纳上月电费，中标人的电价交易结算由电网企业与相应电力交易机构按相关规定另行完成。 </w:t>
      </w:r>
    </w:p>
    <w:p w14:paraId="360068AB">
      <w:pPr>
        <w:pStyle w:val="14"/>
        <w:keepNext w:val="0"/>
        <w:keepLines w:val="0"/>
        <w:pageBreakBefore w:val="0"/>
        <w:kinsoku/>
        <w:wordWrap/>
        <w:overflowPunct/>
        <w:topLinePunct w:val="0"/>
        <w:autoSpaceDE/>
        <w:autoSpaceDN/>
        <w:bidi w:val="0"/>
        <w:adjustRightInd/>
        <w:snapToGrid/>
        <w:spacing w:beforeAutospacing="0" w:line="480" w:lineRule="exact"/>
        <w:ind w:firstLine="600" w:firstLineChars="200"/>
        <w:textAlignment w:val="auto"/>
        <w:rPr>
          <w:rFonts w:hint="eastAsia" w:ascii="黑体" w:hAnsi="黑体" w:eastAsia="黑体" w:cs="黑体"/>
          <w:b w:val="0"/>
          <w:bCs/>
          <w:sz w:val="30"/>
          <w:szCs w:val="30"/>
          <w:lang w:eastAsia="zh-CN"/>
        </w:rPr>
      </w:pPr>
      <w:r>
        <w:rPr>
          <w:rFonts w:hint="eastAsia" w:ascii="黑体" w:hAnsi="黑体" w:eastAsia="黑体" w:cs="黑体"/>
          <w:b w:val="0"/>
          <w:bCs/>
          <w:sz w:val="30"/>
          <w:szCs w:val="30"/>
          <w:lang w:val="en-US" w:eastAsia="zh-CN"/>
        </w:rPr>
        <w:t>六</w:t>
      </w:r>
      <w:r>
        <w:rPr>
          <w:rFonts w:hint="eastAsia" w:ascii="黑体" w:hAnsi="黑体" w:eastAsia="黑体" w:cs="黑体"/>
          <w:b w:val="0"/>
          <w:bCs/>
          <w:sz w:val="30"/>
          <w:szCs w:val="30"/>
          <w:lang w:eastAsia="zh-CN"/>
        </w:rPr>
        <w:t>、商务条款</w:t>
      </w:r>
    </w:p>
    <w:p w14:paraId="6CBDEE82">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1.服务期限：2027年1月1日-2027年12月31日。</w:t>
      </w:r>
    </w:p>
    <w:p w14:paraId="550A8E38">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2.服务地点：富顺县中医医院指定地点。</w:t>
      </w:r>
    </w:p>
    <w:p w14:paraId="77B10F86">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3.现场踏勘：如</w:t>
      </w:r>
      <w:r>
        <w:rPr>
          <w:rFonts w:hint="default" w:ascii="仿宋" w:hAnsi="仿宋" w:eastAsia="仿宋" w:cs="仿宋"/>
          <w:color w:val="auto"/>
          <w:sz w:val="30"/>
          <w:szCs w:val="30"/>
          <w:highlight w:val="none"/>
          <w:shd w:val="clear" w:color="auto" w:fill="auto"/>
          <w:lang w:val="en-US" w:eastAsia="zh-CN"/>
        </w:rPr>
        <w:t>需现场</w:t>
      </w:r>
      <w:r>
        <w:rPr>
          <w:rFonts w:hint="eastAsia" w:ascii="仿宋" w:hAnsi="仿宋" w:eastAsia="仿宋" w:cs="仿宋"/>
          <w:color w:val="auto"/>
          <w:sz w:val="30"/>
          <w:szCs w:val="30"/>
          <w:highlight w:val="none"/>
          <w:shd w:val="clear" w:color="auto" w:fill="auto"/>
          <w:lang w:val="en-US" w:eastAsia="zh-CN"/>
        </w:rPr>
        <w:t>踏勘预试预检等电力运维服务</w:t>
      </w:r>
      <w:r>
        <w:rPr>
          <w:rFonts w:hint="default" w:ascii="仿宋" w:hAnsi="仿宋" w:eastAsia="仿宋" w:cs="仿宋"/>
          <w:color w:val="auto"/>
          <w:sz w:val="30"/>
          <w:szCs w:val="30"/>
          <w:highlight w:val="none"/>
          <w:shd w:val="clear" w:color="auto" w:fill="auto"/>
          <w:lang w:val="en-US" w:eastAsia="zh-CN"/>
        </w:rPr>
        <w:t>，请于202</w:t>
      </w:r>
      <w:r>
        <w:rPr>
          <w:rFonts w:hint="eastAsia" w:ascii="仿宋" w:hAnsi="仿宋" w:eastAsia="仿宋" w:cs="仿宋"/>
          <w:color w:val="auto"/>
          <w:sz w:val="30"/>
          <w:szCs w:val="30"/>
          <w:highlight w:val="none"/>
          <w:shd w:val="clear" w:color="auto" w:fill="auto"/>
          <w:lang w:val="en-US" w:eastAsia="zh-CN"/>
        </w:rPr>
        <w:t>6</w:t>
      </w:r>
      <w:r>
        <w:rPr>
          <w:rFonts w:hint="default" w:ascii="仿宋" w:hAnsi="仿宋" w:eastAsia="仿宋" w:cs="仿宋"/>
          <w:color w:val="auto"/>
          <w:sz w:val="30"/>
          <w:szCs w:val="30"/>
          <w:highlight w:val="none"/>
          <w:shd w:val="clear" w:color="auto" w:fill="auto"/>
          <w:lang w:val="en-US" w:eastAsia="zh-CN"/>
        </w:rPr>
        <w:t>年</w:t>
      </w:r>
      <w:r>
        <w:rPr>
          <w:rFonts w:hint="eastAsia" w:ascii="仿宋" w:hAnsi="仿宋" w:eastAsia="仿宋" w:cs="仿宋"/>
          <w:color w:val="auto"/>
          <w:sz w:val="30"/>
          <w:szCs w:val="30"/>
          <w:highlight w:val="none"/>
          <w:shd w:val="clear" w:color="auto" w:fill="auto"/>
          <w:lang w:val="en-US" w:eastAsia="zh-CN"/>
        </w:rPr>
        <w:t>6</w:t>
      </w:r>
      <w:r>
        <w:rPr>
          <w:rFonts w:hint="default" w:ascii="仿宋" w:hAnsi="仿宋" w:eastAsia="仿宋" w:cs="仿宋"/>
          <w:color w:val="auto"/>
          <w:sz w:val="30"/>
          <w:szCs w:val="30"/>
          <w:highlight w:val="none"/>
          <w:shd w:val="clear" w:color="auto" w:fill="auto"/>
          <w:lang w:val="en-US" w:eastAsia="zh-CN"/>
        </w:rPr>
        <w:t>月</w:t>
      </w:r>
      <w:r>
        <w:rPr>
          <w:rFonts w:hint="eastAsia" w:ascii="仿宋" w:hAnsi="仿宋" w:eastAsia="仿宋" w:cs="仿宋"/>
          <w:color w:val="auto"/>
          <w:sz w:val="30"/>
          <w:szCs w:val="30"/>
          <w:highlight w:val="none"/>
          <w:shd w:val="clear" w:color="auto" w:fill="auto"/>
          <w:lang w:val="en-US" w:eastAsia="zh-CN"/>
        </w:rPr>
        <w:t>10</w:t>
      </w:r>
      <w:r>
        <w:rPr>
          <w:rFonts w:hint="default" w:ascii="仿宋" w:hAnsi="仿宋" w:eastAsia="仿宋" w:cs="仿宋"/>
          <w:color w:val="auto"/>
          <w:sz w:val="30"/>
          <w:szCs w:val="30"/>
          <w:highlight w:val="none"/>
          <w:shd w:val="clear" w:color="auto" w:fill="auto"/>
          <w:lang w:val="en-US" w:eastAsia="zh-CN"/>
        </w:rPr>
        <w:t>日上午10:00到富顺县中医医院同心院区后勤科统一进行现场勘察。联系人：洪老师18990072448。</w:t>
      </w:r>
    </w:p>
    <w:p w14:paraId="76804034">
      <w:pPr>
        <w:pStyle w:val="14"/>
        <w:keepNext w:val="0"/>
        <w:keepLines w:val="0"/>
        <w:pageBreakBefore w:val="0"/>
        <w:numPr>
          <w:ilvl w:val="0"/>
          <w:numId w:val="0"/>
        </w:numPr>
        <w:kinsoku/>
        <w:wordWrap/>
        <w:overflowPunct/>
        <w:topLinePunct w:val="0"/>
        <w:autoSpaceDE/>
        <w:autoSpaceDN/>
        <w:bidi w:val="0"/>
        <w:adjustRightInd/>
        <w:snapToGrid/>
        <w:spacing w:beforeAutospacing="0" w:line="480" w:lineRule="exact"/>
        <w:ind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p>
    <w:p w14:paraId="51675F3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left="0" w:firstLine="560" w:firstLineChars="200"/>
        <w:jc w:val="left"/>
        <w:textAlignment w:val="baseline"/>
        <w:rPr>
          <w:rFonts w:hint="eastAsia" w:ascii="仿宋" w:hAnsi="仿宋" w:eastAsia="仿宋" w:cs="仿宋"/>
          <w:snapToGrid w:val="0"/>
          <w:color w:val="FF0000"/>
          <w:kern w:val="0"/>
          <w:sz w:val="28"/>
          <w:szCs w:val="28"/>
          <w:lang w:val="en-US" w:eastAsia="zh-CN" w:bidi="ar"/>
        </w:rPr>
      </w:pPr>
      <w:r>
        <w:rPr>
          <w:rFonts w:hint="eastAsia" w:ascii="仿宋" w:hAnsi="仿宋" w:eastAsia="仿宋" w:cs="仿宋"/>
          <w:snapToGrid w:val="0"/>
          <w:color w:val="FF0000"/>
          <w:kern w:val="0"/>
          <w:sz w:val="28"/>
          <w:szCs w:val="28"/>
          <w:lang w:val="en-US" w:eastAsia="zh-CN" w:bidi="ar"/>
        </w:rPr>
        <w:t>备注：本采购需求基于前期初步市场调研，非最终招标采购需求，如认为存在异议或排他性内容，请以书面方式向院方提出。</w:t>
      </w:r>
    </w:p>
    <w:p w14:paraId="1007C9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D66F6-3525-4D90-8584-7BB34DDE2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4C65D96-7BDC-406E-87F0-554F11A29296}"/>
  </w:font>
  <w:font w:name="仿宋">
    <w:panose1 w:val="02010609060101010101"/>
    <w:charset w:val="86"/>
    <w:family w:val="auto"/>
    <w:pitch w:val="default"/>
    <w:sig w:usb0="800002BF" w:usb1="38CF7CFA" w:usb2="00000016" w:usb3="00000000" w:csb0="00040001" w:csb1="00000000"/>
    <w:embedRegular r:id="rId3" w:fontKey="{57923097-4867-4D11-8222-F91C4F8D4A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A14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1CE2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11CE2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YmVhMGNlMjFmMTM4N2M0ZDgzNDFhNTNlODllY2IifQ=="/>
    <w:docVar w:name="KSO_WPS_MARK_KEY" w:val="76399dbf-f6db-4984-911d-8912cc12c247"/>
  </w:docVars>
  <w:rsids>
    <w:rsidRoot w:val="00000000"/>
    <w:rsid w:val="01254BA3"/>
    <w:rsid w:val="03D426D8"/>
    <w:rsid w:val="046D3805"/>
    <w:rsid w:val="047E7B5C"/>
    <w:rsid w:val="04EA24E3"/>
    <w:rsid w:val="057064CC"/>
    <w:rsid w:val="06A40F90"/>
    <w:rsid w:val="07FF7612"/>
    <w:rsid w:val="0A434869"/>
    <w:rsid w:val="0B905D8E"/>
    <w:rsid w:val="0C004584"/>
    <w:rsid w:val="0FD10BBE"/>
    <w:rsid w:val="103324D1"/>
    <w:rsid w:val="104524C2"/>
    <w:rsid w:val="109602E0"/>
    <w:rsid w:val="11112D3E"/>
    <w:rsid w:val="11FD2FE8"/>
    <w:rsid w:val="12163A49"/>
    <w:rsid w:val="124D5674"/>
    <w:rsid w:val="14145403"/>
    <w:rsid w:val="148C7BA7"/>
    <w:rsid w:val="1B850340"/>
    <w:rsid w:val="1BBB1BBC"/>
    <w:rsid w:val="1D4761FE"/>
    <w:rsid w:val="1D556936"/>
    <w:rsid w:val="1DF4614E"/>
    <w:rsid w:val="1E71779F"/>
    <w:rsid w:val="1F476625"/>
    <w:rsid w:val="22A44D63"/>
    <w:rsid w:val="22BB25DD"/>
    <w:rsid w:val="26D66D39"/>
    <w:rsid w:val="283D06F2"/>
    <w:rsid w:val="28FC47DA"/>
    <w:rsid w:val="29A749BD"/>
    <w:rsid w:val="2B0D1E15"/>
    <w:rsid w:val="2B2A78A3"/>
    <w:rsid w:val="2B961881"/>
    <w:rsid w:val="2E8822E7"/>
    <w:rsid w:val="306E25BE"/>
    <w:rsid w:val="326A1C8B"/>
    <w:rsid w:val="32E77BD8"/>
    <w:rsid w:val="35491FA1"/>
    <w:rsid w:val="3C05083C"/>
    <w:rsid w:val="3C5710FF"/>
    <w:rsid w:val="3F640FAD"/>
    <w:rsid w:val="41EF030D"/>
    <w:rsid w:val="447E6459"/>
    <w:rsid w:val="448D4A83"/>
    <w:rsid w:val="4565532E"/>
    <w:rsid w:val="48901F28"/>
    <w:rsid w:val="4CAA3ACC"/>
    <w:rsid w:val="4D3C7046"/>
    <w:rsid w:val="500C20E7"/>
    <w:rsid w:val="50977394"/>
    <w:rsid w:val="5199302A"/>
    <w:rsid w:val="54C855A5"/>
    <w:rsid w:val="550C1F1C"/>
    <w:rsid w:val="56993E5F"/>
    <w:rsid w:val="56C80241"/>
    <w:rsid w:val="59D328A5"/>
    <w:rsid w:val="5A130F3C"/>
    <w:rsid w:val="5B1F7E26"/>
    <w:rsid w:val="5B861CFA"/>
    <w:rsid w:val="5CD123BD"/>
    <w:rsid w:val="5F837DD1"/>
    <w:rsid w:val="61627194"/>
    <w:rsid w:val="624878DA"/>
    <w:rsid w:val="63626535"/>
    <w:rsid w:val="637D57DA"/>
    <w:rsid w:val="64DE3ED7"/>
    <w:rsid w:val="65007760"/>
    <w:rsid w:val="66573403"/>
    <w:rsid w:val="6874270A"/>
    <w:rsid w:val="68947BC7"/>
    <w:rsid w:val="6A3F17DD"/>
    <w:rsid w:val="6AEC0441"/>
    <w:rsid w:val="6B92506E"/>
    <w:rsid w:val="6CB52DA9"/>
    <w:rsid w:val="6DC5664D"/>
    <w:rsid w:val="6FBC0660"/>
    <w:rsid w:val="7445564D"/>
    <w:rsid w:val="753F332B"/>
    <w:rsid w:val="774374CF"/>
    <w:rsid w:val="7A5F7B6C"/>
    <w:rsid w:val="7CA75883"/>
    <w:rsid w:val="7E4A1147"/>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before="100" w:beforeAutospacing="1"/>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semiHidden/>
    <w:unhideWhenUsed/>
    <w:qFormat/>
    <w:uiPriority w:val="99"/>
    <w:pPr>
      <w:spacing w:before="100" w:beforeAutospacing="1" w:line="480" w:lineRule="exact"/>
      <w:ind w:left="0" w:leftChars="0" w:firstLine="420"/>
    </w:pPr>
    <w:rPr>
      <w:sz w:val="28"/>
      <w:szCs w:val="2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null3"/>
    <w:qFormat/>
    <w:uiPriority w:val="0"/>
    <w:rPr>
      <w:rFonts w:hint="eastAsia" w:ascii="Calibri" w:hAnsi="Calibri" w:eastAsia="宋体" w:cs="Times New Roman"/>
      <w:lang w:val="en-US" w:eastAsia="zh-Hans"/>
    </w:rPr>
  </w:style>
  <w:style w:type="paragraph" w:customStyle="1" w:styleId="15">
    <w:name w:val="Table Text"/>
    <w:basedOn w:val="1"/>
    <w:semiHidden/>
    <w:qFormat/>
    <w:uiPriority w:val="0"/>
    <w:rPr>
      <w:rFonts w:ascii="宋体" w:hAnsi="宋体" w:eastAsia="宋体" w:cs="宋体"/>
      <w:sz w:val="16"/>
      <w:szCs w:val="16"/>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2802</Words>
  <Characters>3112</Characters>
  <Lines>0</Lines>
  <Paragraphs>0</Paragraphs>
  <TotalTime>5</TotalTime>
  <ScaleCrop>false</ScaleCrop>
  <LinksUpToDate>false</LinksUpToDate>
  <CharactersWithSpaces>3123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2024-09-24T00:30:00Z</dcterms:created>
  <dc:creator>富顺中医院</dc:creator>
  <cp:lastModifiedBy>罗春英</cp:lastModifiedBy>
  <cp:lastPrinted>2026-06-08T01:37:34Z</cp:lastPrinted>
  <dcterms:modified xsi:type="dcterms:W3CDTF">2026-06-08T01:39:31Z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D93F1C55615B4E3F8C11E2CAC9A35B02_13</vt:lpwstr>
  </property>
  <property fmtid="{D5CDD505-2E9C-101B-9397-08002B2CF9AE}" pid="4" name="KSOTemplateDocerSaveRecord">
    <vt:lpwstr>eyJoZGlkIjoiNzU4MDk3MTk2MDZhYjQ1Yjg4YzY2NzA5ZWM1NWM5ZTEiLCJ1c2VySWQiOiI0MzQxNTU2ODAifQ==</vt:lpwstr>
  </property>
</Properties>
</file>