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BF4958">
      <w:pPr>
        <w:spacing w:after="40" w:line="312" w:lineRule="auto"/>
        <w:jc w:val="center"/>
      </w:pPr>
      <w:r>
        <w:rPr>
          <w:rFonts w:ascii="Times New Roman" w:hAnsi="Times New Roman" w:eastAsia="黑体"/>
          <w:b/>
          <w:sz w:val="32"/>
        </w:rPr>
        <w:t>富顺县中医医院污水排口水质在线监测系统设备采购项目</w:t>
      </w:r>
    </w:p>
    <w:p w14:paraId="39D7A020">
      <w:pPr>
        <w:spacing w:after="240" w:line="312" w:lineRule="auto"/>
        <w:jc w:val="center"/>
      </w:pPr>
      <w:r>
        <w:rPr>
          <w:rFonts w:ascii="Times New Roman" w:hAnsi="Times New Roman" w:eastAsia="黑体"/>
          <w:b/>
          <w:sz w:val="32"/>
        </w:rPr>
        <w:t>市场调研报价单</w:t>
      </w:r>
    </w:p>
    <w:p w14:paraId="258565D4">
      <w:pPr>
        <w:spacing w:after="80" w:line="312" w:lineRule="auto"/>
      </w:pPr>
      <w:r>
        <w:rPr>
          <w:rFonts w:ascii="Times New Roman" w:hAnsi="Times New Roman" w:eastAsia="黑体"/>
          <w:b/>
          <w:sz w:val="26"/>
        </w:rPr>
        <w:t>（一）在线监测仪器设备</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740"/>
        <w:gridCol w:w="812"/>
        <w:gridCol w:w="812"/>
        <w:gridCol w:w="1224"/>
        <w:gridCol w:w="1211"/>
        <w:gridCol w:w="1211"/>
      </w:tblGrid>
      <w:tr w14:paraId="063EA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FA40A8C">
            <w:pPr>
              <w:spacing w:before="40" w:after="40" w:line="240" w:lineRule="auto"/>
              <w:jc w:val="center"/>
            </w:pPr>
            <w:r>
              <w:rPr>
                <w:rFonts w:ascii="Times New Roman" w:hAnsi="Times New Roman" w:eastAsia="宋体"/>
                <w:b/>
                <w:sz w:val="21"/>
              </w:rPr>
              <w:t>序号</w:t>
            </w:r>
          </w:p>
        </w:tc>
        <w:tc>
          <w:tcPr>
            <w:tcW w:w="2740" w:type="dxa"/>
          </w:tcPr>
          <w:p w14:paraId="634F102E">
            <w:pPr>
              <w:spacing w:before="40" w:after="40" w:line="240" w:lineRule="auto"/>
              <w:jc w:val="center"/>
            </w:pPr>
            <w:r>
              <w:rPr>
                <w:rFonts w:ascii="Times New Roman" w:hAnsi="Times New Roman" w:eastAsia="宋体"/>
                <w:b/>
                <w:sz w:val="21"/>
              </w:rPr>
              <w:t>名称</w:t>
            </w:r>
          </w:p>
        </w:tc>
        <w:tc>
          <w:tcPr>
            <w:tcW w:w="812" w:type="dxa"/>
          </w:tcPr>
          <w:p w14:paraId="02942CB5">
            <w:pPr>
              <w:spacing w:before="40" w:after="40" w:line="240" w:lineRule="auto"/>
              <w:jc w:val="center"/>
            </w:pPr>
            <w:r>
              <w:rPr>
                <w:rFonts w:ascii="Times New Roman" w:hAnsi="Times New Roman" w:eastAsia="宋体"/>
                <w:b/>
                <w:sz w:val="21"/>
              </w:rPr>
              <w:t>单位</w:t>
            </w:r>
          </w:p>
        </w:tc>
        <w:tc>
          <w:tcPr>
            <w:tcW w:w="812" w:type="dxa"/>
          </w:tcPr>
          <w:p w14:paraId="4992BC77">
            <w:pPr>
              <w:spacing w:before="40" w:after="40" w:line="240" w:lineRule="auto"/>
              <w:jc w:val="center"/>
            </w:pPr>
            <w:r>
              <w:rPr>
                <w:rFonts w:ascii="Times New Roman" w:hAnsi="Times New Roman" w:eastAsia="宋体"/>
                <w:b/>
                <w:sz w:val="21"/>
              </w:rPr>
              <w:t>数量</w:t>
            </w:r>
          </w:p>
        </w:tc>
        <w:tc>
          <w:tcPr>
            <w:tcW w:w="1224" w:type="dxa"/>
          </w:tcPr>
          <w:p w14:paraId="7298CE2D">
            <w:pPr>
              <w:spacing w:before="40" w:after="40" w:line="240" w:lineRule="auto"/>
              <w:jc w:val="center"/>
            </w:pPr>
            <w:r>
              <w:rPr>
                <w:rFonts w:ascii="Times New Roman" w:hAnsi="Times New Roman" w:eastAsia="宋体"/>
                <w:b/>
                <w:sz w:val="21"/>
              </w:rPr>
              <w:t>品牌</w:t>
            </w:r>
          </w:p>
        </w:tc>
        <w:tc>
          <w:tcPr>
            <w:tcW w:w="1211" w:type="dxa"/>
          </w:tcPr>
          <w:p w14:paraId="10B9339D">
            <w:pPr>
              <w:spacing w:before="40" w:after="40" w:line="240" w:lineRule="auto"/>
              <w:jc w:val="center"/>
            </w:pPr>
            <w:r>
              <w:rPr>
                <w:rFonts w:ascii="Times New Roman" w:hAnsi="Times New Roman" w:eastAsia="宋体"/>
                <w:b/>
                <w:sz w:val="21"/>
              </w:rPr>
              <w:t>单价（元）</w:t>
            </w:r>
          </w:p>
        </w:tc>
        <w:tc>
          <w:tcPr>
            <w:tcW w:w="1211" w:type="dxa"/>
          </w:tcPr>
          <w:p w14:paraId="05492580">
            <w:pPr>
              <w:spacing w:before="40" w:after="40" w:line="240" w:lineRule="auto"/>
              <w:jc w:val="center"/>
            </w:pPr>
            <w:r>
              <w:rPr>
                <w:rFonts w:ascii="Times New Roman" w:hAnsi="Times New Roman" w:eastAsia="宋体"/>
                <w:b/>
                <w:sz w:val="21"/>
              </w:rPr>
              <w:t>合价（元）</w:t>
            </w:r>
          </w:p>
        </w:tc>
      </w:tr>
      <w:tr w14:paraId="63360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74A39CAE">
            <w:pPr>
              <w:spacing w:before="40" w:after="40" w:line="240" w:lineRule="auto"/>
              <w:jc w:val="center"/>
            </w:pPr>
            <w:r>
              <w:rPr>
                <w:rFonts w:ascii="Times New Roman" w:hAnsi="Times New Roman" w:eastAsia="宋体"/>
                <w:b w:val="0"/>
                <w:sz w:val="21"/>
              </w:rPr>
              <w:t>1</w:t>
            </w:r>
          </w:p>
        </w:tc>
        <w:tc>
          <w:tcPr>
            <w:tcW w:w="2740" w:type="dxa"/>
          </w:tcPr>
          <w:p w14:paraId="4682E283">
            <w:pPr>
              <w:spacing w:before="40" w:after="40" w:line="240" w:lineRule="auto"/>
            </w:pPr>
            <w:r>
              <w:rPr>
                <w:rFonts w:ascii="Times New Roman" w:hAnsi="Times New Roman" w:eastAsia="宋体"/>
                <w:b w:val="0"/>
                <w:sz w:val="21"/>
              </w:rPr>
              <w:t>COD在线自动监测仪</w:t>
            </w:r>
          </w:p>
        </w:tc>
        <w:tc>
          <w:tcPr>
            <w:tcW w:w="812" w:type="dxa"/>
          </w:tcPr>
          <w:p w14:paraId="382A86E9">
            <w:pPr>
              <w:spacing w:before="40" w:after="40" w:line="240" w:lineRule="auto"/>
              <w:jc w:val="center"/>
            </w:pPr>
            <w:r>
              <w:rPr>
                <w:rFonts w:ascii="Times New Roman" w:hAnsi="Times New Roman" w:eastAsia="宋体"/>
                <w:b w:val="0"/>
                <w:sz w:val="21"/>
              </w:rPr>
              <w:t>台</w:t>
            </w:r>
          </w:p>
        </w:tc>
        <w:tc>
          <w:tcPr>
            <w:tcW w:w="812" w:type="dxa"/>
          </w:tcPr>
          <w:p w14:paraId="0075D76A">
            <w:pPr>
              <w:spacing w:before="40" w:after="40" w:line="240" w:lineRule="auto"/>
              <w:jc w:val="center"/>
            </w:pPr>
            <w:r>
              <w:rPr>
                <w:rFonts w:ascii="Times New Roman" w:hAnsi="Times New Roman" w:eastAsia="宋体"/>
                <w:b w:val="0"/>
                <w:sz w:val="21"/>
              </w:rPr>
              <w:t>1</w:t>
            </w:r>
          </w:p>
        </w:tc>
        <w:tc>
          <w:tcPr>
            <w:tcW w:w="1224" w:type="dxa"/>
          </w:tcPr>
          <w:p w14:paraId="14ECDC07">
            <w:pPr>
              <w:spacing w:before="40" w:after="40" w:line="240" w:lineRule="auto"/>
              <w:jc w:val="center"/>
            </w:pPr>
          </w:p>
        </w:tc>
        <w:tc>
          <w:tcPr>
            <w:tcW w:w="1211" w:type="dxa"/>
          </w:tcPr>
          <w:p w14:paraId="26FB5B6B">
            <w:pPr>
              <w:spacing w:before="40" w:after="40" w:line="240" w:lineRule="auto"/>
              <w:jc w:val="center"/>
            </w:pPr>
          </w:p>
        </w:tc>
        <w:tc>
          <w:tcPr>
            <w:tcW w:w="1211" w:type="dxa"/>
          </w:tcPr>
          <w:p w14:paraId="661364E1">
            <w:pPr>
              <w:spacing w:before="40" w:after="40" w:line="240" w:lineRule="auto"/>
              <w:jc w:val="center"/>
            </w:pPr>
          </w:p>
        </w:tc>
      </w:tr>
      <w:tr w14:paraId="2F9B7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59CAB489">
            <w:pPr>
              <w:spacing w:before="40" w:after="40" w:line="240" w:lineRule="auto"/>
              <w:jc w:val="center"/>
            </w:pPr>
            <w:r>
              <w:rPr>
                <w:rFonts w:ascii="Times New Roman" w:hAnsi="Times New Roman" w:eastAsia="宋体"/>
                <w:b w:val="0"/>
                <w:sz w:val="21"/>
              </w:rPr>
              <w:t>2</w:t>
            </w:r>
          </w:p>
        </w:tc>
        <w:tc>
          <w:tcPr>
            <w:tcW w:w="2740" w:type="dxa"/>
          </w:tcPr>
          <w:p w14:paraId="7D656205">
            <w:pPr>
              <w:spacing w:before="40" w:after="40" w:line="240" w:lineRule="auto"/>
            </w:pPr>
            <w:r>
              <w:rPr>
                <w:rFonts w:ascii="Times New Roman" w:hAnsi="Times New Roman" w:eastAsia="宋体"/>
                <w:b w:val="0"/>
                <w:sz w:val="21"/>
              </w:rPr>
              <w:t>氨氮在线自动监测仪</w:t>
            </w:r>
          </w:p>
        </w:tc>
        <w:tc>
          <w:tcPr>
            <w:tcW w:w="812" w:type="dxa"/>
          </w:tcPr>
          <w:p w14:paraId="103359DF">
            <w:pPr>
              <w:spacing w:before="40" w:after="40" w:line="240" w:lineRule="auto"/>
              <w:jc w:val="center"/>
            </w:pPr>
            <w:r>
              <w:rPr>
                <w:rFonts w:ascii="Times New Roman" w:hAnsi="Times New Roman" w:eastAsia="宋体"/>
                <w:b w:val="0"/>
                <w:sz w:val="21"/>
              </w:rPr>
              <w:t>台</w:t>
            </w:r>
          </w:p>
        </w:tc>
        <w:tc>
          <w:tcPr>
            <w:tcW w:w="812" w:type="dxa"/>
          </w:tcPr>
          <w:p w14:paraId="2C4ABF51">
            <w:pPr>
              <w:spacing w:before="40" w:after="40" w:line="240" w:lineRule="auto"/>
              <w:jc w:val="center"/>
            </w:pPr>
            <w:r>
              <w:rPr>
                <w:rFonts w:ascii="Times New Roman" w:hAnsi="Times New Roman" w:eastAsia="宋体"/>
                <w:b w:val="0"/>
                <w:sz w:val="21"/>
              </w:rPr>
              <w:t>1</w:t>
            </w:r>
          </w:p>
        </w:tc>
        <w:tc>
          <w:tcPr>
            <w:tcW w:w="1224" w:type="dxa"/>
          </w:tcPr>
          <w:p w14:paraId="400A501A">
            <w:pPr>
              <w:spacing w:before="40" w:after="40" w:line="240" w:lineRule="auto"/>
              <w:jc w:val="center"/>
            </w:pPr>
          </w:p>
        </w:tc>
        <w:tc>
          <w:tcPr>
            <w:tcW w:w="1211" w:type="dxa"/>
          </w:tcPr>
          <w:p w14:paraId="6B5149E7">
            <w:pPr>
              <w:spacing w:before="40" w:after="40" w:line="240" w:lineRule="auto"/>
              <w:jc w:val="center"/>
            </w:pPr>
          </w:p>
        </w:tc>
        <w:tc>
          <w:tcPr>
            <w:tcW w:w="1211" w:type="dxa"/>
          </w:tcPr>
          <w:p w14:paraId="0EDEEF48">
            <w:pPr>
              <w:spacing w:before="40" w:after="40" w:line="240" w:lineRule="auto"/>
              <w:jc w:val="center"/>
            </w:pPr>
          </w:p>
        </w:tc>
      </w:tr>
      <w:tr w14:paraId="604E7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5B76CD4A">
            <w:pPr>
              <w:spacing w:before="40" w:after="40" w:line="240" w:lineRule="auto"/>
              <w:jc w:val="center"/>
            </w:pPr>
            <w:r>
              <w:rPr>
                <w:rFonts w:ascii="Times New Roman" w:hAnsi="Times New Roman" w:eastAsia="宋体"/>
                <w:b w:val="0"/>
                <w:sz w:val="21"/>
              </w:rPr>
              <w:t>3</w:t>
            </w:r>
          </w:p>
        </w:tc>
        <w:tc>
          <w:tcPr>
            <w:tcW w:w="2740" w:type="dxa"/>
          </w:tcPr>
          <w:p w14:paraId="3D9CAF82">
            <w:pPr>
              <w:spacing w:before="40" w:after="40" w:line="240" w:lineRule="auto"/>
            </w:pPr>
            <w:r>
              <w:rPr>
                <w:rFonts w:ascii="Times New Roman" w:hAnsi="Times New Roman" w:eastAsia="宋体"/>
                <w:b w:val="0"/>
                <w:sz w:val="21"/>
              </w:rPr>
              <w:t>pH在线自动监测仪</w:t>
            </w:r>
          </w:p>
        </w:tc>
        <w:tc>
          <w:tcPr>
            <w:tcW w:w="812" w:type="dxa"/>
          </w:tcPr>
          <w:p w14:paraId="2E544E98">
            <w:pPr>
              <w:spacing w:before="40" w:after="40" w:line="240" w:lineRule="auto"/>
              <w:jc w:val="center"/>
            </w:pPr>
            <w:r>
              <w:rPr>
                <w:rFonts w:ascii="Times New Roman" w:hAnsi="Times New Roman" w:eastAsia="宋体"/>
                <w:b w:val="0"/>
                <w:sz w:val="21"/>
              </w:rPr>
              <w:t>台</w:t>
            </w:r>
          </w:p>
        </w:tc>
        <w:tc>
          <w:tcPr>
            <w:tcW w:w="812" w:type="dxa"/>
          </w:tcPr>
          <w:p w14:paraId="6A88DADE">
            <w:pPr>
              <w:spacing w:before="40" w:after="40" w:line="240" w:lineRule="auto"/>
              <w:jc w:val="center"/>
            </w:pPr>
            <w:r>
              <w:rPr>
                <w:rFonts w:ascii="Times New Roman" w:hAnsi="Times New Roman" w:eastAsia="宋体"/>
                <w:b w:val="0"/>
                <w:sz w:val="21"/>
              </w:rPr>
              <w:t>1</w:t>
            </w:r>
          </w:p>
        </w:tc>
        <w:tc>
          <w:tcPr>
            <w:tcW w:w="1224" w:type="dxa"/>
          </w:tcPr>
          <w:p w14:paraId="50385276">
            <w:pPr>
              <w:spacing w:before="40" w:after="40" w:line="240" w:lineRule="auto"/>
              <w:jc w:val="center"/>
            </w:pPr>
          </w:p>
        </w:tc>
        <w:tc>
          <w:tcPr>
            <w:tcW w:w="1211" w:type="dxa"/>
          </w:tcPr>
          <w:p w14:paraId="6A077178">
            <w:pPr>
              <w:spacing w:before="40" w:after="40" w:line="240" w:lineRule="auto"/>
              <w:jc w:val="center"/>
            </w:pPr>
          </w:p>
        </w:tc>
        <w:tc>
          <w:tcPr>
            <w:tcW w:w="1211" w:type="dxa"/>
          </w:tcPr>
          <w:p w14:paraId="43892F17">
            <w:pPr>
              <w:spacing w:before="40" w:after="40" w:line="240" w:lineRule="auto"/>
              <w:jc w:val="center"/>
            </w:pPr>
          </w:p>
        </w:tc>
      </w:tr>
      <w:tr w14:paraId="78982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430BE664">
            <w:pPr>
              <w:spacing w:before="40" w:after="40" w:line="240" w:lineRule="auto"/>
              <w:jc w:val="center"/>
            </w:pPr>
            <w:r>
              <w:rPr>
                <w:rFonts w:ascii="Times New Roman" w:hAnsi="Times New Roman" w:eastAsia="宋体"/>
                <w:b w:val="0"/>
                <w:sz w:val="21"/>
              </w:rPr>
              <w:t>4</w:t>
            </w:r>
          </w:p>
        </w:tc>
        <w:tc>
          <w:tcPr>
            <w:tcW w:w="2740" w:type="dxa"/>
          </w:tcPr>
          <w:p w14:paraId="73BC78D7">
            <w:pPr>
              <w:spacing w:before="40" w:after="40" w:line="240" w:lineRule="auto"/>
            </w:pPr>
            <w:r>
              <w:rPr>
                <w:rFonts w:ascii="Times New Roman" w:hAnsi="Times New Roman" w:eastAsia="宋体"/>
                <w:b w:val="0"/>
                <w:sz w:val="21"/>
              </w:rPr>
              <w:t>余氯在线自动监测仪</w:t>
            </w:r>
          </w:p>
        </w:tc>
        <w:tc>
          <w:tcPr>
            <w:tcW w:w="812" w:type="dxa"/>
          </w:tcPr>
          <w:p w14:paraId="2430CE0D">
            <w:pPr>
              <w:spacing w:before="40" w:after="40" w:line="240" w:lineRule="auto"/>
              <w:jc w:val="center"/>
            </w:pPr>
            <w:r>
              <w:rPr>
                <w:rFonts w:ascii="Times New Roman" w:hAnsi="Times New Roman" w:eastAsia="宋体"/>
                <w:b w:val="0"/>
                <w:sz w:val="21"/>
              </w:rPr>
              <w:t>台</w:t>
            </w:r>
          </w:p>
        </w:tc>
        <w:tc>
          <w:tcPr>
            <w:tcW w:w="812" w:type="dxa"/>
          </w:tcPr>
          <w:p w14:paraId="227C6917">
            <w:pPr>
              <w:spacing w:before="40" w:after="40" w:line="240" w:lineRule="auto"/>
              <w:jc w:val="center"/>
            </w:pPr>
            <w:r>
              <w:rPr>
                <w:rFonts w:ascii="Times New Roman" w:hAnsi="Times New Roman" w:eastAsia="宋体"/>
                <w:b w:val="0"/>
                <w:sz w:val="21"/>
              </w:rPr>
              <w:t>1</w:t>
            </w:r>
          </w:p>
        </w:tc>
        <w:tc>
          <w:tcPr>
            <w:tcW w:w="1224" w:type="dxa"/>
          </w:tcPr>
          <w:p w14:paraId="6CE1B949">
            <w:pPr>
              <w:spacing w:before="40" w:after="40" w:line="240" w:lineRule="auto"/>
              <w:jc w:val="center"/>
            </w:pPr>
          </w:p>
        </w:tc>
        <w:tc>
          <w:tcPr>
            <w:tcW w:w="1211" w:type="dxa"/>
          </w:tcPr>
          <w:p w14:paraId="70E1982B">
            <w:pPr>
              <w:spacing w:before="40" w:after="40" w:line="240" w:lineRule="auto"/>
              <w:jc w:val="center"/>
            </w:pPr>
          </w:p>
        </w:tc>
        <w:tc>
          <w:tcPr>
            <w:tcW w:w="1211" w:type="dxa"/>
          </w:tcPr>
          <w:p w14:paraId="47C2EC4E">
            <w:pPr>
              <w:spacing w:before="40" w:after="40" w:line="240" w:lineRule="auto"/>
              <w:jc w:val="center"/>
            </w:pPr>
          </w:p>
        </w:tc>
      </w:tr>
      <w:tr w14:paraId="369B2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36C1DCAC">
            <w:pPr>
              <w:spacing w:before="40" w:after="40" w:line="240" w:lineRule="auto"/>
              <w:jc w:val="center"/>
            </w:pPr>
            <w:r>
              <w:rPr>
                <w:rFonts w:ascii="Times New Roman" w:hAnsi="Times New Roman" w:eastAsia="宋体"/>
                <w:b w:val="0"/>
                <w:sz w:val="21"/>
              </w:rPr>
              <w:t>5</w:t>
            </w:r>
          </w:p>
        </w:tc>
        <w:tc>
          <w:tcPr>
            <w:tcW w:w="2740" w:type="dxa"/>
          </w:tcPr>
          <w:p w14:paraId="15ED7022">
            <w:pPr>
              <w:spacing w:before="40" w:after="40" w:line="240" w:lineRule="auto"/>
            </w:pPr>
            <w:r>
              <w:rPr>
                <w:rFonts w:ascii="Times New Roman" w:hAnsi="Times New Roman" w:eastAsia="宋体"/>
                <w:b w:val="0"/>
                <w:sz w:val="21"/>
              </w:rPr>
              <w:t>明渠流量计</w:t>
            </w:r>
          </w:p>
        </w:tc>
        <w:tc>
          <w:tcPr>
            <w:tcW w:w="812" w:type="dxa"/>
          </w:tcPr>
          <w:p w14:paraId="353C5E1A">
            <w:pPr>
              <w:spacing w:before="40" w:after="40" w:line="240" w:lineRule="auto"/>
              <w:jc w:val="center"/>
            </w:pPr>
            <w:r>
              <w:rPr>
                <w:rFonts w:ascii="Times New Roman" w:hAnsi="Times New Roman" w:eastAsia="宋体"/>
                <w:b w:val="0"/>
                <w:sz w:val="21"/>
              </w:rPr>
              <w:t>套</w:t>
            </w:r>
          </w:p>
        </w:tc>
        <w:tc>
          <w:tcPr>
            <w:tcW w:w="812" w:type="dxa"/>
          </w:tcPr>
          <w:p w14:paraId="2BBC378C">
            <w:pPr>
              <w:spacing w:before="40" w:after="40" w:line="240" w:lineRule="auto"/>
              <w:jc w:val="center"/>
            </w:pPr>
            <w:r>
              <w:rPr>
                <w:rFonts w:ascii="Times New Roman" w:hAnsi="Times New Roman" w:eastAsia="宋体"/>
                <w:b w:val="0"/>
                <w:sz w:val="21"/>
              </w:rPr>
              <w:t>1</w:t>
            </w:r>
          </w:p>
        </w:tc>
        <w:tc>
          <w:tcPr>
            <w:tcW w:w="1224" w:type="dxa"/>
          </w:tcPr>
          <w:p w14:paraId="64AB6306">
            <w:pPr>
              <w:spacing w:before="40" w:after="40" w:line="240" w:lineRule="auto"/>
              <w:jc w:val="center"/>
            </w:pPr>
          </w:p>
        </w:tc>
        <w:tc>
          <w:tcPr>
            <w:tcW w:w="1211" w:type="dxa"/>
          </w:tcPr>
          <w:p w14:paraId="6E6CFFA6">
            <w:pPr>
              <w:spacing w:before="40" w:after="40" w:line="240" w:lineRule="auto"/>
              <w:jc w:val="center"/>
            </w:pPr>
          </w:p>
        </w:tc>
        <w:tc>
          <w:tcPr>
            <w:tcW w:w="1211" w:type="dxa"/>
          </w:tcPr>
          <w:p w14:paraId="7AE6E65F">
            <w:pPr>
              <w:spacing w:before="40" w:after="40" w:line="240" w:lineRule="auto"/>
              <w:jc w:val="center"/>
            </w:pPr>
          </w:p>
        </w:tc>
      </w:tr>
      <w:tr w14:paraId="13042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Pr>
          <w:p w14:paraId="6263076B">
            <w:pPr>
              <w:spacing w:before="40" w:after="40" w:line="240" w:lineRule="auto"/>
              <w:jc w:val="center"/>
            </w:pPr>
            <w:r>
              <w:rPr>
                <w:rFonts w:ascii="Times New Roman" w:hAnsi="Times New Roman" w:eastAsia="宋体"/>
                <w:b w:val="0"/>
                <w:sz w:val="21"/>
              </w:rPr>
              <w:t>合计（元）</w:t>
            </w:r>
          </w:p>
        </w:tc>
        <w:tc>
          <w:tcPr>
            <w:tcW w:w="2740" w:type="dxa"/>
          </w:tcPr>
          <w:p w14:paraId="042B7D49">
            <w:pPr>
              <w:spacing w:before="40" w:after="40" w:line="240" w:lineRule="auto"/>
            </w:pPr>
          </w:p>
        </w:tc>
        <w:tc>
          <w:tcPr>
            <w:tcW w:w="812" w:type="dxa"/>
          </w:tcPr>
          <w:p w14:paraId="38BEAEF9">
            <w:pPr>
              <w:spacing w:before="40" w:after="40" w:line="240" w:lineRule="auto"/>
              <w:jc w:val="center"/>
            </w:pPr>
          </w:p>
        </w:tc>
        <w:tc>
          <w:tcPr>
            <w:tcW w:w="812" w:type="dxa"/>
          </w:tcPr>
          <w:p w14:paraId="65321742">
            <w:pPr>
              <w:spacing w:before="40" w:after="40" w:line="240" w:lineRule="auto"/>
              <w:jc w:val="center"/>
            </w:pPr>
          </w:p>
        </w:tc>
        <w:tc>
          <w:tcPr>
            <w:tcW w:w="1224" w:type="dxa"/>
          </w:tcPr>
          <w:p w14:paraId="43BE2E4C">
            <w:pPr>
              <w:spacing w:before="40" w:after="40" w:line="240" w:lineRule="auto"/>
              <w:jc w:val="center"/>
            </w:pPr>
          </w:p>
        </w:tc>
        <w:tc>
          <w:tcPr>
            <w:tcW w:w="1211" w:type="dxa"/>
          </w:tcPr>
          <w:p w14:paraId="3A4A945C">
            <w:pPr>
              <w:spacing w:before="40" w:after="40" w:line="240" w:lineRule="auto"/>
              <w:jc w:val="center"/>
            </w:pPr>
          </w:p>
        </w:tc>
        <w:tc>
          <w:tcPr>
            <w:tcW w:w="1211" w:type="dxa"/>
          </w:tcPr>
          <w:p w14:paraId="1C3D9F0D">
            <w:pPr>
              <w:spacing w:before="40" w:after="40" w:line="240" w:lineRule="auto"/>
              <w:jc w:val="center"/>
            </w:pPr>
          </w:p>
        </w:tc>
      </w:tr>
      <w:tr w14:paraId="27C7A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56" w:type="dxa"/>
            <w:gridSpan w:val="7"/>
          </w:tcPr>
          <w:p w14:paraId="7825B688">
            <w:pPr>
              <w:spacing w:before="40" w:after="40" w:line="240" w:lineRule="auto"/>
              <w:jc w:val="both"/>
              <w:rPr>
                <w:rFonts w:hint="default" w:eastAsia="宋体"/>
                <w:lang w:val="en-US" w:eastAsia="zh-CN"/>
              </w:rPr>
            </w:pPr>
            <w:r>
              <w:rPr>
                <w:rFonts w:hint="eastAsia"/>
                <w:lang w:val="en-US" w:eastAsia="zh-CN"/>
              </w:rPr>
              <w:t>大写：</w:t>
            </w:r>
          </w:p>
        </w:tc>
      </w:tr>
    </w:tbl>
    <w:p w14:paraId="46415863">
      <w:pPr>
        <w:spacing w:after="160" w:line="312" w:lineRule="auto"/>
      </w:pPr>
    </w:p>
    <w:p w14:paraId="7F4DE3ED">
      <w:pPr>
        <w:spacing w:after="80" w:line="312" w:lineRule="auto"/>
      </w:pPr>
      <w:r>
        <w:rPr>
          <w:rFonts w:ascii="Times New Roman" w:hAnsi="Times New Roman" w:eastAsia="宋体"/>
          <w:b/>
          <w:sz w:val="24"/>
        </w:rPr>
        <w:t>备注：</w:t>
      </w:r>
    </w:p>
    <w:p w14:paraId="019039F4">
      <w:pPr>
        <w:spacing w:after="80" w:line="312" w:lineRule="auto"/>
        <w:ind w:firstLine="420" w:firstLineChars="200"/>
      </w:pPr>
      <w:r>
        <w:rPr>
          <w:rFonts w:ascii="Times New Roman" w:hAnsi="Times New Roman" w:eastAsia="宋体"/>
          <w:b w:val="0"/>
          <w:sz w:val="21"/>
        </w:rPr>
        <w:t>1. 本项目报价包含但不限于：COD、氨氮、pH、余氯在线监测仪及明渠流量计等监测设备及配套数采仪的供货、运输、装卸，配套附属设施（取样、管路敷设、供电、接地、槽体安装固定），安装调试，联网接入（免费接入自贡市、四川省生态环境在线监控平台，含数采仪注册、点位绑定、参数通道映射，HJ 212-2025协议对接），比对试验，培训及质保期内免费保修及技术支持等完成本项目所需的全部服务与费用。</w:t>
      </w:r>
    </w:p>
    <w:p w14:paraId="46F1BC0C">
      <w:pPr>
        <w:spacing w:after="80" w:line="312" w:lineRule="auto"/>
        <w:ind w:firstLine="420" w:firstLineChars="200"/>
      </w:pPr>
      <w:r>
        <w:rPr>
          <w:rFonts w:ascii="Times New Roman" w:hAnsi="Times New Roman" w:eastAsia="宋体"/>
          <w:b w:val="0"/>
          <w:sz w:val="21"/>
        </w:rPr>
        <w:t>2. 报价一经涂改，应在涂改处加盖单位公章或响应人代表签字或盖章，否则其响应作无效处理。</w:t>
      </w:r>
    </w:p>
    <w:p w14:paraId="320F4D6E">
      <w:pPr>
        <w:spacing w:after="80" w:line="312" w:lineRule="auto"/>
        <w:ind w:firstLine="420" w:firstLineChars="200"/>
      </w:pPr>
      <w:r>
        <w:rPr>
          <w:rFonts w:ascii="Times New Roman" w:hAnsi="Times New Roman" w:eastAsia="宋体"/>
          <w:b w:val="0"/>
          <w:sz w:val="21"/>
        </w:rPr>
        <w:t>3. 本项目报价包括但不限于：人工成本、设备、运输、装卸、工具、耗材、接口费、企业利润、税金、采购代理服务费等完成本项目所需一切费用，因供应商自身原因造成漏报、少报皆由其自行承担，采购人概不负责，采购人不再支付除合同金额外的其他任何费用。</w:t>
      </w:r>
    </w:p>
    <w:p w14:paraId="1F5AE15E">
      <w:pPr>
        <w:spacing w:after="80" w:line="312" w:lineRule="auto"/>
        <w:ind w:firstLine="420" w:firstLineChars="200"/>
      </w:pPr>
      <w:bookmarkStart w:id="0" w:name="_GoBack"/>
      <w:bookmarkEnd w:id="0"/>
      <w:r>
        <w:rPr>
          <w:rFonts w:ascii="Times New Roman" w:hAnsi="Times New Roman" w:eastAsia="宋体"/>
          <w:b w:val="0"/>
          <w:sz w:val="21"/>
        </w:rPr>
        <w:t>4. 响应人按格式填列，不得自行更改，否则引起的不利后果由响应人承担。</w:t>
      </w:r>
    </w:p>
    <w:p w14:paraId="6BD93DB4">
      <w:pPr>
        <w:spacing w:after="200" w:line="312" w:lineRule="auto"/>
      </w:pPr>
    </w:p>
    <w:p w14:paraId="39115094">
      <w:pPr>
        <w:spacing w:after="200" w:line="312" w:lineRule="auto"/>
      </w:pPr>
      <w:r>
        <w:rPr>
          <w:rFonts w:ascii="Times New Roman" w:hAnsi="Times New Roman" w:eastAsia="宋体"/>
          <w:b w:val="0"/>
          <w:sz w:val="24"/>
        </w:rPr>
        <w:t>报价单位：（盖章）</w:t>
      </w:r>
    </w:p>
    <w:p w14:paraId="455500B2">
      <w:pPr>
        <w:spacing w:after="200" w:line="312" w:lineRule="auto"/>
      </w:pPr>
      <w:r>
        <w:rPr>
          <w:rFonts w:ascii="Times New Roman" w:hAnsi="Times New Roman" w:eastAsia="宋体"/>
          <w:b w:val="0"/>
          <w:sz w:val="24"/>
        </w:rPr>
        <w:t>法定代表人（或被授权人）：（盖章或签字）</w:t>
      </w:r>
    </w:p>
    <w:p w14:paraId="47EEC383">
      <w:pPr>
        <w:spacing w:after="0" w:line="312" w:lineRule="auto"/>
      </w:pPr>
      <w:r>
        <w:rPr>
          <w:rFonts w:ascii="Times New Roman" w:hAnsi="Times New Roman" w:eastAsia="宋体"/>
          <w:b w:val="0"/>
          <w:sz w:val="24"/>
        </w:rPr>
        <w:t>报价时间：</w:t>
      </w: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Yu Gothic">
    <w:panose1 w:val="020B0400000000000000"/>
    <w:charset w:val="80"/>
    <w:family w:val="auto"/>
    <w:pitch w:val="default"/>
    <w:sig w:usb0="E00002FF" w:usb1="2AC7FDFF" w:usb2="00000016" w:usb3="00000000" w:csb0="2002009F"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1917133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4"/>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uiPriority w:val="99"/>
  </w:style>
  <w:style w:type="character" w:customStyle="1" w:styleId="145">
    <w:name w:val="Body Text 2 Char"/>
    <w:basedOn w:val="132"/>
    <w:link w:val="28"/>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uiPriority w:val="29"/>
    <w:rPr>
      <w:i/>
      <w:iCs/>
      <w:color w:val="000000" w:themeColor="text1"/>
      <w14:textFill>
        <w14:solidFill>
          <w14:schemeClr w14:val="tx1"/>
        </w14:solidFill>
      </w14:textFill>
    </w:rPr>
  </w:style>
  <w:style w:type="character" w:customStyle="1" w:styleId="150">
    <w:name w:val="Heading 4 Char"/>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549</Words>
  <Characters>571</Characters>
  <Lines>0</Lines>
  <Paragraphs>0</Paragraphs>
  <TotalTime>3</TotalTime>
  <ScaleCrop>false</ScaleCrop>
  <LinksUpToDate>false</LinksUpToDate>
  <CharactersWithSpaces>576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罗春英</cp:lastModifiedBy>
  <dcterms:modified xsi:type="dcterms:W3CDTF">2026-10-23T02:07:29Z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eyJoZGlkIjoiNzU4MDk3MTk2MDZhYjQ1Yjg4YzY2NzA5ZWM1NWM5ZTEiLCJ1c2VySWQiOiI0MzQxNTU2ODAifQ==</vt:lpwstr>
  </property>
  <property fmtid="{D5CDD505-2E9C-101B-9397-08002B2CF9AE}" pid="3" name="KSOProductBuildVer">
    <vt:lpwstr>2052-12.1.0.29161</vt:lpwstr>
  </property>
  <property fmtid="{D5CDD505-2E9C-101B-9397-08002B2CF9AE}" pid="4" name="ICV">
    <vt:lpwstr>AE2862D253F642D9B0DB55E8F37B5CBD_12</vt:lpwstr>
  </property>
</Properties>
</file>